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33" w:rsidRPr="001E31A5" w:rsidRDefault="004B3C33" w:rsidP="004B3C33">
      <w:pPr>
        <w:rPr>
          <w:rFonts w:ascii="Arial" w:hAnsi="Arial" w:cs="Arial"/>
          <w:sz w:val="22"/>
          <w:szCs w:val="22"/>
        </w:rPr>
      </w:pPr>
      <w:bookmarkStart w:id="0" w:name="_GoBack"/>
      <w:bookmarkEnd w:id="0"/>
      <w:r w:rsidRPr="001E31A5">
        <w:rPr>
          <w:rFonts w:ascii="Arial" w:hAnsi="Arial" w:cs="Arial"/>
          <w:sz w:val="22"/>
          <w:szCs w:val="22"/>
        </w:rPr>
        <w:t xml:space="preserve">IZVLEČKI </w:t>
      </w:r>
    </w:p>
    <w:p w:rsidR="004B3C33" w:rsidRPr="001E31A5" w:rsidRDefault="004B3C33" w:rsidP="004B3C33">
      <w:pPr>
        <w:pStyle w:val="Odstavekseznama"/>
        <w:overflowPunct w:val="0"/>
        <w:autoSpaceDE w:val="0"/>
        <w:autoSpaceDN w:val="0"/>
        <w:adjustRightInd w:val="0"/>
        <w:ind w:left="142"/>
        <w:contextualSpacing w:val="0"/>
        <w:textAlignment w:val="baseline"/>
        <w:rPr>
          <w:rFonts w:ascii="Arial" w:hAnsi="Arial" w:cs="Arial"/>
          <w:b/>
          <w:sz w:val="22"/>
          <w:szCs w:val="22"/>
        </w:rPr>
      </w:pPr>
    </w:p>
    <w:p w:rsidR="00B95570" w:rsidRPr="001E31A5" w:rsidRDefault="00B95570" w:rsidP="004B3C33">
      <w:pPr>
        <w:rPr>
          <w:rFonts w:ascii="Arial" w:hAnsi="Arial" w:cs="Arial"/>
          <w:sz w:val="22"/>
          <w:szCs w:val="22"/>
        </w:rPr>
      </w:pPr>
    </w:p>
    <w:p w:rsidR="00B95570" w:rsidRPr="001E31A5" w:rsidRDefault="00B95570" w:rsidP="00B95570">
      <w:pPr>
        <w:rPr>
          <w:rFonts w:ascii="Arial" w:hAnsi="Arial" w:cs="Arial"/>
          <w:b/>
          <w:sz w:val="22"/>
          <w:szCs w:val="22"/>
        </w:rPr>
      </w:pPr>
    </w:p>
    <w:p w:rsidR="00B95570" w:rsidRPr="001E31A5" w:rsidRDefault="00876C60" w:rsidP="00B95570">
      <w:pPr>
        <w:rPr>
          <w:rFonts w:ascii="Arial" w:hAnsi="Arial" w:cs="Arial"/>
          <w:b/>
          <w:sz w:val="22"/>
          <w:szCs w:val="22"/>
        </w:rPr>
      </w:pPr>
      <w:r w:rsidRPr="001E31A5">
        <w:rPr>
          <w:rFonts w:ascii="Arial" w:hAnsi="Arial" w:cs="Arial"/>
          <w:b/>
          <w:sz w:val="22"/>
          <w:szCs w:val="22"/>
        </w:rPr>
        <w:t>2</w:t>
      </w:r>
      <w:r w:rsidR="00B95570" w:rsidRPr="001E31A5">
        <w:rPr>
          <w:rFonts w:ascii="Arial" w:hAnsi="Arial" w:cs="Arial"/>
          <w:b/>
          <w:sz w:val="22"/>
          <w:szCs w:val="22"/>
        </w:rPr>
        <w:t xml:space="preserve"> točka. Informacije in pobude – DIIP Ureditev prostorov za izvajanje fizioterapije in zdravstvene vzgoje</w:t>
      </w:r>
    </w:p>
    <w:p w:rsidR="00B95570" w:rsidRPr="001E31A5" w:rsidRDefault="00B95570" w:rsidP="00B95570">
      <w:pPr>
        <w:rPr>
          <w:rFonts w:ascii="Arial" w:hAnsi="Arial" w:cs="Arial"/>
          <w:b/>
          <w:sz w:val="22"/>
          <w:szCs w:val="22"/>
        </w:rPr>
      </w:pPr>
    </w:p>
    <w:p w:rsidR="00B95570" w:rsidRPr="001E31A5" w:rsidRDefault="00B95570" w:rsidP="00B95570">
      <w:pPr>
        <w:jc w:val="both"/>
        <w:rPr>
          <w:rFonts w:ascii="Arial" w:hAnsi="Arial" w:cs="Arial"/>
          <w:sz w:val="22"/>
          <w:szCs w:val="22"/>
        </w:rPr>
      </w:pPr>
      <w:r w:rsidRPr="001E31A5">
        <w:rPr>
          <w:rFonts w:ascii="Arial" w:hAnsi="Arial" w:cs="Arial"/>
          <w:sz w:val="22"/>
          <w:szCs w:val="22"/>
        </w:rPr>
        <w:t xml:space="preserve">DIIP obravnava nameravano naložbo v </w:t>
      </w:r>
      <w:r w:rsidRPr="001E31A5">
        <w:rPr>
          <w:rFonts w:ascii="Arial" w:hAnsi="Arial" w:cs="Arial"/>
          <w:b/>
          <w:sz w:val="22"/>
          <w:szCs w:val="22"/>
        </w:rPr>
        <w:t>UREDITEV PROSTOROV ZA IZVAJANJE FIZIOTERAPIJE IN ZDRAVSTVENE VZGOJE</w:t>
      </w:r>
      <w:r w:rsidRPr="001E31A5">
        <w:rPr>
          <w:rFonts w:ascii="Arial" w:hAnsi="Arial" w:cs="Arial"/>
          <w:sz w:val="22"/>
          <w:szCs w:val="22"/>
        </w:rPr>
        <w:t>. Osnovni razlog za naložbo je dejstvo, da so sedanji prostori fizioterapije neustrezni, prostori za izvajanje zdravstvene vzgoje pa ne omogočajo izvajanja razširjenega programa preventivnih delavnic oziroma širitve zdravstveno vzgojnega centra v center za krepitev zdravja.</w:t>
      </w:r>
    </w:p>
    <w:p w:rsidR="00B95570" w:rsidRPr="001E31A5" w:rsidRDefault="00B95570" w:rsidP="00B95570">
      <w:pPr>
        <w:jc w:val="both"/>
        <w:rPr>
          <w:rFonts w:ascii="Arial" w:hAnsi="Arial" w:cs="Arial"/>
          <w:b/>
          <w:color w:val="00B0F0"/>
          <w:sz w:val="22"/>
          <w:szCs w:val="22"/>
        </w:rPr>
      </w:pPr>
      <w:r w:rsidRPr="001E31A5">
        <w:rPr>
          <w:rFonts w:ascii="Arial" w:hAnsi="Arial" w:cs="Arial"/>
          <w:sz w:val="22"/>
          <w:szCs w:val="22"/>
        </w:rPr>
        <w:t>Skupna vrednost celotne naložbe (z DDV, tekoče cene)</w:t>
      </w:r>
      <w:r w:rsidR="00541D45" w:rsidRPr="001E31A5">
        <w:rPr>
          <w:rFonts w:ascii="Arial" w:hAnsi="Arial" w:cs="Arial"/>
          <w:sz w:val="22"/>
          <w:szCs w:val="22"/>
        </w:rPr>
        <w:t>:</w:t>
      </w:r>
      <w:r w:rsidRPr="001E31A5">
        <w:rPr>
          <w:rFonts w:ascii="Arial" w:hAnsi="Arial" w:cs="Arial"/>
          <w:sz w:val="22"/>
          <w:szCs w:val="22"/>
        </w:rPr>
        <w:t xml:space="preserve"> 858.074,38 EUR. V znesku je vključen strošek nakupa prostorov v višini 162.865,00 EUR in strošek zunanje ureditve v višini 143.472,00 EUR. Strošek opreme prostorov in strošek nakupa manjkajočih aparatur v višini 100.000,00 EUR ni predmet tega DIIP</w:t>
      </w:r>
      <w:r w:rsidR="00541D45" w:rsidRPr="001E31A5">
        <w:rPr>
          <w:rFonts w:ascii="Arial" w:hAnsi="Arial" w:cs="Arial"/>
          <w:sz w:val="22"/>
          <w:szCs w:val="22"/>
        </w:rPr>
        <w:t>-a</w:t>
      </w:r>
      <w:r w:rsidRPr="001E31A5">
        <w:rPr>
          <w:rFonts w:ascii="Arial" w:hAnsi="Arial" w:cs="Arial"/>
          <w:sz w:val="22"/>
          <w:szCs w:val="22"/>
        </w:rPr>
        <w:t xml:space="preserve"> in ni zajet v oceni vrednosti investicije. Nakup opreme prostorov in nakup manjkajočih aparatur bo v celoti zagotovil Zdravstveni dom Ajdovščina.</w:t>
      </w:r>
    </w:p>
    <w:p w:rsidR="00B95570" w:rsidRPr="001E31A5" w:rsidRDefault="00B95570" w:rsidP="00B95570">
      <w:pPr>
        <w:jc w:val="both"/>
        <w:rPr>
          <w:rFonts w:ascii="Arial" w:hAnsi="Arial" w:cs="Arial"/>
          <w:sz w:val="22"/>
          <w:szCs w:val="22"/>
        </w:rPr>
      </w:pPr>
      <w:r w:rsidRPr="001E31A5">
        <w:rPr>
          <w:rFonts w:ascii="Arial" w:hAnsi="Arial" w:cs="Arial"/>
          <w:sz w:val="22"/>
          <w:szCs w:val="22"/>
        </w:rPr>
        <w:t xml:space="preserve">Občini Ajdovščina in Vipava soglašata, da bo kot investitor nastopala Občina Ajdovščina, Občina Vipava pa bo investicijo sofinancirala. Predviden znesek sofinanciranja investicije s strani Občine Vipava znaša 171.290,19 EUR. Po dokončanih delih se bodo obnovljeni prostori prenesli v upravljanje Zdravstvenemu domu Ajdovščina. Zunanjo ureditev bo v celoti financirala Občina Ajdovščina, saj se zunanja ureditev zagotavlja tudi kot delna ureditev soseske Ribnik in ne bo predmet prenosa v upravljanje.   </w:t>
      </w:r>
    </w:p>
    <w:p w:rsidR="00B95570" w:rsidRPr="001E31A5" w:rsidRDefault="00B95570" w:rsidP="00B95570">
      <w:pPr>
        <w:spacing w:before="60"/>
        <w:jc w:val="both"/>
        <w:rPr>
          <w:rFonts w:ascii="Arial" w:hAnsi="Arial" w:cs="Arial"/>
          <w:sz w:val="22"/>
          <w:szCs w:val="22"/>
        </w:rPr>
      </w:pPr>
      <w:r w:rsidRPr="001E31A5">
        <w:rPr>
          <w:rFonts w:ascii="Arial" w:hAnsi="Arial" w:cs="Arial"/>
          <w:sz w:val="22"/>
          <w:szCs w:val="22"/>
        </w:rPr>
        <w:t xml:space="preserve">Terminsko bo projekt potekal: </w:t>
      </w:r>
    </w:p>
    <w:p w:rsidR="00B95570" w:rsidRPr="001E31A5" w:rsidRDefault="00B95570" w:rsidP="00B95570">
      <w:pPr>
        <w:numPr>
          <w:ilvl w:val="0"/>
          <w:numId w:val="5"/>
        </w:numPr>
        <w:autoSpaceDE w:val="0"/>
        <w:autoSpaceDN w:val="0"/>
        <w:adjustRightInd w:val="0"/>
        <w:jc w:val="both"/>
        <w:rPr>
          <w:rFonts w:ascii="Arial" w:hAnsi="Arial" w:cs="Arial"/>
          <w:sz w:val="22"/>
          <w:szCs w:val="22"/>
        </w:rPr>
      </w:pPr>
      <w:r w:rsidRPr="001E31A5">
        <w:rPr>
          <w:rFonts w:ascii="Arial" w:hAnsi="Arial" w:cs="Arial"/>
          <w:sz w:val="22"/>
          <w:szCs w:val="22"/>
        </w:rPr>
        <w:t xml:space="preserve">Nakup prostorov: 2016 </w:t>
      </w:r>
    </w:p>
    <w:p w:rsidR="00B95570" w:rsidRPr="001E31A5" w:rsidRDefault="00B95570" w:rsidP="00B95570">
      <w:pPr>
        <w:numPr>
          <w:ilvl w:val="0"/>
          <w:numId w:val="5"/>
        </w:numPr>
        <w:autoSpaceDE w:val="0"/>
        <w:autoSpaceDN w:val="0"/>
        <w:adjustRightInd w:val="0"/>
        <w:jc w:val="both"/>
        <w:rPr>
          <w:rFonts w:ascii="Arial" w:hAnsi="Arial" w:cs="Arial"/>
          <w:sz w:val="22"/>
          <w:szCs w:val="22"/>
        </w:rPr>
      </w:pPr>
      <w:r w:rsidRPr="001E31A5">
        <w:rPr>
          <w:rFonts w:ascii="Arial" w:hAnsi="Arial" w:cs="Arial"/>
          <w:sz w:val="22"/>
          <w:szCs w:val="22"/>
        </w:rPr>
        <w:t xml:space="preserve">Izdelava projektne dokumentacije: januar 2017 – maj 2017 </w:t>
      </w:r>
    </w:p>
    <w:p w:rsidR="00B95570" w:rsidRPr="001E31A5" w:rsidRDefault="00B95570" w:rsidP="00B95570">
      <w:pPr>
        <w:numPr>
          <w:ilvl w:val="0"/>
          <w:numId w:val="5"/>
        </w:numPr>
        <w:autoSpaceDE w:val="0"/>
        <w:autoSpaceDN w:val="0"/>
        <w:adjustRightInd w:val="0"/>
        <w:jc w:val="both"/>
        <w:rPr>
          <w:rFonts w:ascii="Arial" w:hAnsi="Arial" w:cs="Arial"/>
          <w:sz w:val="22"/>
          <w:szCs w:val="22"/>
        </w:rPr>
      </w:pPr>
      <w:r w:rsidRPr="001E31A5">
        <w:rPr>
          <w:rFonts w:ascii="Arial" w:hAnsi="Arial" w:cs="Arial"/>
          <w:sz w:val="22"/>
          <w:szCs w:val="22"/>
        </w:rPr>
        <w:t>Pridobitev gradbenega dovoljenja: junij 2017</w:t>
      </w:r>
    </w:p>
    <w:p w:rsidR="00B95570" w:rsidRPr="001E31A5" w:rsidRDefault="00B95570" w:rsidP="00B95570">
      <w:pPr>
        <w:numPr>
          <w:ilvl w:val="0"/>
          <w:numId w:val="5"/>
        </w:numPr>
        <w:autoSpaceDE w:val="0"/>
        <w:autoSpaceDN w:val="0"/>
        <w:adjustRightInd w:val="0"/>
        <w:jc w:val="both"/>
        <w:rPr>
          <w:rFonts w:ascii="Arial" w:hAnsi="Arial" w:cs="Arial"/>
          <w:sz w:val="22"/>
          <w:szCs w:val="22"/>
        </w:rPr>
      </w:pPr>
      <w:r w:rsidRPr="001E31A5">
        <w:rPr>
          <w:rFonts w:ascii="Arial" w:hAnsi="Arial" w:cs="Arial"/>
          <w:sz w:val="22"/>
          <w:szCs w:val="22"/>
        </w:rPr>
        <w:t>Javni razpis, izbira izvajalca in uvedba v delo: julij 2017 – avgust 2017</w:t>
      </w:r>
    </w:p>
    <w:p w:rsidR="00B95570" w:rsidRPr="001E31A5" w:rsidRDefault="00B95570" w:rsidP="00B95570">
      <w:pPr>
        <w:numPr>
          <w:ilvl w:val="0"/>
          <w:numId w:val="5"/>
        </w:numPr>
        <w:autoSpaceDE w:val="0"/>
        <w:autoSpaceDN w:val="0"/>
        <w:adjustRightInd w:val="0"/>
        <w:jc w:val="both"/>
        <w:rPr>
          <w:rFonts w:ascii="Arial" w:hAnsi="Arial" w:cs="Arial"/>
          <w:sz w:val="22"/>
          <w:szCs w:val="22"/>
        </w:rPr>
      </w:pPr>
      <w:r w:rsidRPr="001E31A5">
        <w:rPr>
          <w:rFonts w:ascii="Arial" w:hAnsi="Arial" w:cs="Arial"/>
          <w:sz w:val="22"/>
          <w:szCs w:val="22"/>
        </w:rPr>
        <w:t xml:space="preserve">Izvedba: avgust 2017 – januar 2018 </w:t>
      </w:r>
    </w:p>
    <w:p w:rsidR="00B95570" w:rsidRPr="001E31A5" w:rsidRDefault="00B95570" w:rsidP="00B95570">
      <w:pPr>
        <w:numPr>
          <w:ilvl w:val="0"/>
          <w:numId w:val="5"/>
        </w:numPr>
        <w:autoSpaceDE w:val="0"/>
        <w:autoSpaceDN w:val="0"/>
        <w:adjustRightInd w:val="0"/>
        <w:jc w:val="both"/>
        <w:rPr>
          <w:rFonts w:ascii="Arial" w:hAnsi="Arial" w:cs="Arial"/>
          <w:sz w:val="22"/>
          <w:szCs w:val="22"/>
        </w:rPr>
      </w:pPr>
      <w:r w:rsidRPr="001E31A5">
        <w:rPr>
          <w:rFonts w:ascii="Arial" w:hAnsi="Arial" w:cs="Arial"/>
          <w:sz w:val="22"/>
          <w:szCs w:val="22"/>
        </w:rPr>
        <w:t>Zaključek in predaja v uporabo: marec 2018</w:t>
      </w:r>
    </w:p>
    <w:p w:rsidR="00B95570" w:rsidRPr="001E31A5" w:rsidRDefault="00B95570" w:rsidP="00B95570">
      <w:pPr>
        <w:rPr>
          <w:rFonts w:ascii="Arial" w:hAnsi="Arial" w:cs="Arial"/>
          <w:b/>
          <w:bCs/>
          <w:sz w:val="22"/>
          <w:szCs w:val="22"/>
        </w:rPr>
      </w:pPr>
    </w:p>
    <w:p w:rsidR="00B95570" w:rsidRPr="001E31A5" w:rsidRDefault="00B95570" w:rsidP="00B95570">
      <w:pPr>
        <w:rPr>
          <w:rFonts w:ascii="Arial" w:hAnsi="Arial" w:cs="Arial"/>
          <w:bCs/>
          <w:sz w:val="22"/>
          <w:szCs w:val="22"/>
        </w:rPr>
      </w:pPr>
      <w:r w:rsidRPr="001E31A5">
        <w:rPr>
          <w:rFonts w:ascii="Arial" w:hAnsi="Arial" w:cs="Arial"/>
          <w:bCs/>
          <w:sz w:val="22"/>
          <w:szCs w:val="22"/>
        </w:rPr>
        <w:t>Pripravila: Katarina Ambrožič</w:t>
      </w:r>
    </w:p>
    <w:p w:rsidR="0097145C" w:rsidRPr="001E31A5" w:rsidRDefault="0097145C" w:rsidP="00B95570">
      <w:pPr>
        <w:rPr>
          <w:rFonts w:ascii="Arial" w:hAnsi="Arial" w:cs="Arial"/>
          <w:bCs/>
          <w:sz w:val="22"/>
          <w:szCs w:val="22"/>
        </w:rPr>
      </w:pPr>
    </w:p>
    <w:p w:rsidR="00D52313" w:rsidRPr="00220F04" w:rsidRDefault="00D52313" w:rsidP="00B95570">
      <w:pPr>
        <w:rPr>
          <w:rFonts w:ascii="Arial" w:hAnsi="Arial" w:cs="Arial"/>
          <w:b/>
          <w:bCs/>
          <w:sz w:val="22"/>
          <w:szCs w:val="22"/>
        </w:rPr>
      </w:pPr>
      <w:r w:rsidRPr="00220F04">
        <w:rPr>
          <w:rFonts w:ascii="Arial" w:hAnsi="Arial" w:cs="Arial"/>
          <w:b/>
          <w:bCs/>
          <w:sz w:val="22"/>
          <w:szCs w:val="22"/>
        </w:rPr>
        <w:t>3. točka</w:t>
      </w:r>
      <w:r w:rsidR="00EE128F">
        <w:rPr>
          <w:rFonts w:ascii="Arial" w:hAnsi="Arial" w:cs="Arial"/>
          <w:b/>
          <w:bCs/>
          <w:sz w:val="22"/>
          <w:szCs w:val="22"/>
        </w:rPr>
        <w:t>:</w:t>
      </w:r>
      <w:r w:rsidRPr="00220F04">
        <w:rPr>
          <w:rFonts w:ascii="Arial" w:hAnsi="Arial" w:cs="Arial"/>
          <w:b/>
          <w:bCs/>
          <w:sz w:val="22"/>
          <w:szCs w:val="22"/>
        </w:rPr>
        <w:t xml:space="preserve"> Letno poročilo KSD</w:t>
      </w:r>
    </w:p>
    <w:p w:rsidR="00220F04" w:rsidRDefault="00220F04" w:rsidP="00220F04">
      <w:pPr>
        <w:pStyle w:val="Naslov3"/>
        <w:spacing w:before="0"/>
        <w:rPr>
          <w:rFonts w:ascii="Times New Roman" w:hAnsi="Times New Roman" w:cs="Times New Roman"/>
          <w:i/>
          <w:sz w:val="22"/>
          <w:szCs w:val="22"/>
        </w:rPr>
      </w:pPr>
      <w:bookmarkStart w:id="1" w:name="_Toc393701214"/>
      <w:bookmarkStart w:id="2" w:name="_Toc393695837"/>
      <w:bookmarkStart w:id="3" w:name="_Toc478983021"/>
    </w:p>
    <w:p w:rsidR="00220F04" w:rsidRPr="00220F04" w:rsidRDefault="00220F04" w:rsidP="00220F04">
      <w:pPr>
        <w:pStyle w:val="Naslov3"/>
        <w:spacing w:before="0"/>
        <w:rPr>
          <w:rFonts w:ascii="Arial" w:hAnsi="Arial" w:cs="Arial"/>
          <w:i/>
          <w:sz w:val="22"/>
          <w:szCs w:val="22"/>
        </w:rPr>
      </w:pPr>
      <w:r w:rsidRPr="00220F04">
        <w:rPr>
          <w:rFonts w:ascii="Arial" w:hAnsi="Arial" w:cs="Arial"/>
          <w:i/>
          <w:sz w:val="22"/>
          <w:szCs w:val="22"/>
        </w:rPr>
        <w:t>Poslovanje v letu 201</w:t>
      </w:r>
      <w:bookmarkEnd w:id="1"/>
      <w:bookmarkEnd w:id="2"/>
      <w:r w:rsidRPr="00220F04">
        <w:rPr>
          <w:rFonts w:ascii="Arial" w:hAnsi="Arial" w:cs="Arial"/>
          <w:i/>
          <w:sz w:val="22"/>
          <w:szCs w:val="22"/>
        </w:rPr>
        <w:t>6</w:t>
      </w:r>
      <w:bookmarkEnd w:id="3"/>
    </w:p>
    <w:p w:rsidR="00220F04" w:rsidRPr="00220F04" w:rsidRDefault="00220F04" w:rsidP="00220F04">
      <w:pPr>
        <w:autoSpaceDE w:val="0"/>
        <w:autoSpaceDN w:val="0"/>
        <w:adjustRightInd w:val="0"/>
        <w:jc w:val="both"/>
        <w:rPr>
          <w:rFonts w:ascii="Arial" w:hAnsi="Arial" w:cs="Arial"/>
          <w:sz w:val="22"/>
          <w:szCs w:val="22"/>
        </w:rPr>
      </w:pPr>
    </w:p>
    <w:p w:rsidR="00220F04" w:rsidRPr="00220F04" w:rsidRDefault="00220F04" w:rsidP="00220F04">
      <w:pPr>
        <w:autoSpaceDE w:val="0"/>
        <w:autoSpaceDN w:val="0"/>
        <w:adjustRightInd w:val="0"/>
        <w:jc w:val="both"/>
        <w:rPr>
          <w:rFonts w:ascii="Arial" w:hAnsi="Arial" w:cs="Arial"/>
          <w:sz w:val="22"/>
          <w:szCs w:val="22"/>
        </w:rPr>
      </w:pPr>
      <w:r w:rsidRPr="00220F04">
        <w:rPr>
          <w:rFonts w:ascii="Arial" w:hAnsi="Arial" w:cs="Arial"/>
          <w:sz w:val="22"/>
          <w:szCs w:val="22"/>
        </w:rPr>
        <w:t>Poslovanje podjetja v letu 2016 je bilo pozitivno, čisti dobiček znaša 146.553 Eur.</w:t>
      </w:r>
    </w:p>
    <w:p w:rsidR="00220F04" w:rsidRPr="00220F04" w:rsidRDefault="00220F04" w:rsidP="00220F04">
      <w:pPr>
        <w:autoSpaceDE w:val="0"/>
        <w:autoSpaceDN w:val="0"/>
        <w:adjustRightInd w:val="0"/>
        <w:jc w:val="both"/>
        <w:rPr>
          <w:rFonts w:ascii="Arial" w:hAnsi="Arial" w:cs="Arial"/>
          <w:sz w:val="22"/>
          <w:szCs w:val="22"/>
        </w:rPr>
      </w:pPr>
      <w:r w:rsidRPr="00220F04">
        <w:rPr>
          <w:rFonts w:ascii="Arial" w:hAnsi="Arial" w:cs="Arial"/>
          <w:sz w:val="22"/>
          <w:szCs w:val="22"/>
        </w:rPr>
        <w:t>Na področju izvajanja obveznih javnih služb varstva okolja smo se z največjimi izzivi soočali:</w:t>
      </w:r>
    </w:p>
    <w:p w:rsidR="00220F04" w:rsidRPr="00220F04" w:rsidRDefault="00220F04" w:rsidP="00220F04">
      <w:pPr>
        <w:numPr>
          <w:ilvl w:val="0"/>
          <w:numId w:val="10"/>
        </w:numPr>
        <w:autoSpaceDE w:val="0"/>
        <w:autoSpaceDN w:val="0"/>
        <w:adjustRightInd w:val="0"/>
        <w:ind w:left="284" w:hanging="284"/>
        <w:jc w:val="both"/>
        <w:rPr>
          <w:rFonts w:ascii="Arial" w:hAnsi="Arial" w:cs="Arial"/>
          <w:sz w:val="22"/>
          <w:szCs w:val="22"/>
        </w:rPr>
      </w:pPr>
      <w:r w:rsidRPr="00220F04">
        <w:rPr>
          <w:rFonts w:ascii="Arial" w:hAnsi="Arial" w:cs="Arial"/>
          <w:sz w:val="22"/>
          <w:szCs w:val="22"/>
        </w:rPr>
        <w:t>pri oskrbi s pitno vodo, zaradi sorazmerno dolgega sušnega obdobja in posledično s težavami pri zagotavljanju nemotene oskrbe v določenih obdobjih dneva, ko je poraba bistveno višja od normalne,</w:t>
      </w:r>
    </w:p>
    <w:p w:rsidR="00220F04" w:rsidRPr="00220F04" w:rsidRDefault="00220F04" w:rsidP="00220F04">
      <w:pPr>
        <w:numPr>
          <w:ilvl w:val="0"/>
          <w:numId w:val="10"/>
        </w:numPr>
        <w:autoSpaceDE w:val="0"/>
        <w:autoSpaceDN w:val="0"/>
        <w:adjustRightInd w:val="0"/>
        <w:ind w:left="284" w:hanging="284"/>
        <w:jc w:val="both"/>
        <w:rPr>
          <w:rFonts w:ascii="Arial" w:hAnsi="Arial" w:cs="Arial"/>
          <w:sz w:val="22"/>
          <w:szCs w:val="22"/>
        </w:rPr>
      </w:pPr>
      <w:r w:rsidRPr="00220F04">
        <w:rPr>
          <w:rFonts w:ascii="Arial" w:hAnsi="Arial" w:cs="Arial"/>
          <w:sz w:val="22"/>
          <w:szCs w:val="22"/>
        </w:rPr>
        <w:t>pri upravljanju Centralne čistilne naprave Ajdovščina, kjer je bilo zaradi izredno velikih občasnih obremenitev, ki so bile posledica povečane proizvodnje v času od maja do avgusta,</w:t>
      </w:r>
    </w:p>
    <w:p w:rsidR="00220F04" w:rsidRPr="00220F04" w:rsidRDefault="00220F04" w:rsidP="00220F04">
      <w:pPr>
        <w:numPr>
          <w:ilvl w:val="0"/>
          <w:numId w:val="10"/>
        </w:numPr>
        <w:autoSpaceDE w:val="0"/>
        <w:autoSpaceDN w:val="0"/>
        <w:adjustRightInd w:val="0"/>
        <w:ind w:left="284" w:hanging="284"/>
        <w:jc w:val="both"/>
        <w:rPr>
          <w:rFonts w:ascii="Arial" w:hAnsi="Arial" w:cs="Arial"/>
          <w:sz w:val="22"/>
          <w:szCs w:val="22"/>
        </w:rPr>
      </w:pPr>
      <w:r w:rsidRPr="00220F04">
        <w:rPr>
          <w:rFonts w:ascii="Arial" w:hAnsi="Arial" w:cs="Arial"/>
          <w:sz w:val="22"/>
          <w:szCs w:val="22"/>
        </w:rPr>
        <w:t xml:space="preserve">pri upravljanju Čistilne naprave Vipavski Križ v času poskusnega obratovanja, </w:t>
      </w:r>
    </w:p>
    <w:p w:rsidR="00220F04" w:rsidRPr="00220F04" w:rsidRDefault="00220F04" w:rsidP="00220F04">
      <w:pPr>
        <w:numPr>
          <w:ilvl w:val="0"/>
          <w:numId w:val="10"/>
        </w:numPr>
        <w:autoSpaceDE w:val="0"/>
        <w:autoSpaceDN w:val="0"/>
        <w:adjustRightInd w:val="0"/>
        <w:ind w:left="284" w:hanging="284"/>
        <w:jc w:val="both"/>
        <w:rPr>
          <w:rFonts w:ascii="Arial" w:hAnsi="Arial" w:cs="Arial"/>
          <w:sz w:val="22"/>
          <w:szCs w:val="22"/>
        </w:rPr>
      </w:pPr>
      <w:r w:rsidRPr="00220F04">
        <w:rPr>
          <w:rFonts w:ascii="Arial" w:hAnsi="Arial" w:cs="Arial"/>
          <w:sz w:val="22"/>
          <w:szCs w:val="22"/>
        </w:rPr>
        <w:t>pri upravljanju nove Komunalne čistilne naprave Vipava, kjer smo morali ugotavljali in sproti reševali določene tehnične težave,</w:t>
      </w:r>
    </w:p>
    <w:p w:rsidR="00220F04" w:rsidRPr="00220F04" w:rsidRDefault="00220F04" w:rsidP="00220F04">
      <w:pPr>
        <w:numPr>
          <w:ilvl w:val="0"/>
          <w:numId w:val="10"/>
        </w:numPr>
        <w:autoSpaceDE w:val="0"/>
        <w:autoSpaceDN w:val="0"/>
        <w:adjustRightInd w:val="0"/>
        <w:ind w:left="284" w:hanging="284"/>
        <w:jc w:val="both"/>
        <w:rPr>
          <w:rFonts w:ascii="Arial" w:hAnsi="Arial" w:cs="Arial"/>
          <w:sz w:val="22"/>
          <w:szCs w:val="22"/>
        </w:rPr>
      </w:pPr>
      <w:r w:rsidRPr="00220F04">
        <w:rPr>
          <w:rFonts w:ascii="Arial" w:hAnsi="Arial" w:cs="Arial"/>
          <w:sz w:val="22"/>
          <w:szCs w:val="22"/>
        </w:rPr>
        <w:t>na področju ravnanja z odpadki, zaradi neurejenega sistema prevzema mešane odpadne embalaže s strani družb za ravnanje z odpadno embalažo,</w:t>
      </w:r>
    </w:p>
    <w:p w:rsidR="00220F04" w:rsidRPr="00220F04" w:rsidRDefault="00220F04" w:rsidP="00220F04">
      <w:pPr>
        <w:numPr>
          <w:ilvl w:val="0"/>
          <w:numId w:val="10"/>
        </w:numPr>
        <w:autoSpaceDE w:val="0"/>
        <w:autoSpaceDN w:val="0"/>
        <w:adjustRightInd w:val="0"/>
        <w:ind w:left="284" w:hanging="284"/>
        <w:jc w:val="both"/>
        <w:rPr>
          <w:rFonts w:ascii="Arial" w:hAnsi="Arial" w:cs="Arial"/>
          <w:sz w:val="22"/>
          <w:szCs w:val="22"/>
        </w:rPr>
      </w:pPr>
      <w:r w:rsidRPr="00220F04">
        <w:rPr>
          <w:rFonts w:ascii="Arial" w:hAnsi="Arial" w:cs="Arial"/>
          <w:sz w:val="22"/>
          <w:szCs w:val="22"/>
        </w:rPr>
        <w:t>na področju pridobivanja okoljevarstvenih dovoljenj za obdelavo določenih vrst odpadkov ter okoljevarstvenega dovoljenja za zapiranje odlagališča.</w:t>
      </w:r>
    </w:p>
    <w:p w:rsidR="00220F04" w:rsidRPr="00220F04" w:rsidRDefault="00220F04" w:rsidP="00220F04">
      <w:pPr>
        <w:autoSpaceDE w:val="0"/>
        <w:autoSpaceDN w:val="0"/>
        <w:adjustRightInd w:val="0"/>
        <w:jc w:val="both"/>
        <w:rPr>
          <w:rFonts w:ascii="Arial" w:hAnsi="Arial" w:cs="Arial"/>
          <w:sz w:val="22"/>
          <w:szCs w:val="22"/>
        </w:rPr>
      </w:pPr>
      <w:r w:rsidRPr="00220F04">
        <w:rPr>
          <w:rFonts w:ascii="Arial" w:hAnsi="Arial" w:cs="Arial"/>
          <w:sz w:val="22"/>
          <w:szCs w:val="22"/>
        </w:rPr>
        <w:t xml:space="preserve">Tudi v ostalih dejavnostih smo se ukvarjali s številnimi težavami in zapleti, ki smo jih uspevali sproti bolj ali manj uspešno reševati. </w:t>
      </w:r>
    </w:p>
    <w:p w:rsidR="00220F04" w:rsidRPr="00220F04" w:rsidRDefault="00220F04" w:rsidP="00220F04">
      <w:pPr>
        <w:autoSpaceDE w:val="0"/>
        <w:autoSpaceDN w:val="0"/>
        <w:adjustRightInd w:val="0"/>
        <w:jc w:val="both"/>
        <w:rPr>
          <w:rFonts w:ascii="Arial" w:hAnsi="Arial" w:cs="Arial"/>
          <w:sz w:val="22"/>
          <w:szCs w:val="22"/>
        </w:rPr>
      </w:pPr>
      <w:r w:rsidRPr="00220F04">
        <w:rPr>
          <w:rFonts w:ascii="Arial" w:hAnsi="Arial" w:cs="Arial"/>
          <w:sz w:val="22"/>
          <w:szCs w:val="22"/>
        </w:rPr>
        <w:lastRenderedPageBreak/>
        <w:t>Odraz solidnega dela je pozitiven rezultat v vseh dejavnostih, razen pri odvajanju odpadnih voda v občini Ajdovščina, ki je odraz pospešenega praznjenja grezničnih odplak, in rezultat dejavnosti čiščenja odpadnih voda v občini Vipava, ki je posledica višjih stroškov v začetni fazi upravljanja nove čistilne naprave.</w:t>
      </w:r>
    </w:p>
    <w:p w:rsidR="00220F04" w:rsidRPr="00220F04" w:rsidRDefault="00220F04" w:rsidP="00220F04">
      <w:pPr>
        <w:autoSpaceDE w:val="0"/>
        <w:autoSpaceDN w:val="0"/>
        <w:adjustRightInd w:val="0"/>
        <w:jc w:val="both"/>
        <w:rPr>
          <w:rFonts w:ascii="Arial" w:hAnsi="Arial" w:cs="Arial"/>
          <w:sz w:val="22"/>
          <w:szCs w:val="22"/>
        </w:rPr>
      </w:pPr>
    </w:p>
    <w:p w:rsidR="00220F04" w:rsidRPr="00220F04" w:rsidRDefault="00220F04" w:rsidP="00220F04">
      <w:pPr>
        <w:pStyle w:val="Naslov3"/>
        <w:spacing w:before="0"/>
        <w:rPr>
          <w:rFonts w:ascii="Arial" w:hAnsi="Arial" w:cs="Arial"/>
          <w:i/>
          <w:sz w:val="22"/>
          <w:szCs w:val="22"/>
        </w:rPr>
      </w:pPr>
      <w:bookmarkStart w:id="4" w:name="_Toc478983091"/>
      <w:bookmarkStart w:id="5" w:name="_Toc393701234"/>
      <w:bookmarkStart w:id="6" w:name="_Toc393695857"/>
      <w:r w:rsidRPr="00220F04">
        <w:rPr>
          <w:rFonts w:ascii="Arial" w:hAnsi="Arial" w:cs="Arial"/>
          <w:i/>
          <w:sz w:val="22"/>
          <w:szCs w:val="22"/>
        </w:rPr>
        <w:t>Predlog razporeditve dobička leta 2016</w:t>
      </w:r>
      <w:bookmarkEnd w:id="4"/>
      <w:bookmarkEnd w:id="5"/>
      <w:bookmarkEnd w:id="6"/>
    </w:p>
    <w:p w:rsidR="00220F04" w:rsidRPr="00220F04" w:rsidRDefault="00220F04" w:rsidP="00220F04">
      <w:pPr>
        <w:jc w:val="both"/>
        <w:rPr>
          <w:rFonts w:ascii="Arial" w:hAnsi="Arial" w:cs="Arial"/>
          <w:sz w:val="22"/>
          <w:szCs w:val="22"/>
        </w:rPr>
      </w:pPr>
    </w:p>
    <w:p w:rsidR="00220F04" w:rsidRPr="00220F04" w:rsidRDefault="00220F04" w:rsidP="00220F04">
      <w:pPr>
        <w:jc w:val="both"/>
        <w:rPr>
          <w:rFonts w:ascii="Arial" w:hAnsi="Arial" w:cs="Arial"/>
          <w:sz w:val="22"/>
          <w:szCs w:val="22"/>
        </w:rPr>
      </w:pPr>
      <w:r w:rsidRPr="00220F04">
        <w:rPr>
          <w:rFonts w:ascii="Arial" w:hAnsi="Arial" w:cs="Arial"/>
          <w:sz w:val="22"/>
          <w:szCs w:val="22"/>
        </w:rPr>
        <w:t>Družba je leto 2016 zaključila z dobičkom v višini 146.553,30 Eur. Po razporeditvi 7.327,66 Eur v zakonske rezerve ostane čistega dobička 139.225,65 Eur.</w:t>
      </w:r>
    </w:p>
    <w:p w:rsidR="00220F04" w:rsidRPr="00220F04" w:rsidRDefault="00220F04" w:rsidP="00220F04">
      <w:pPr>
        <w:jc w:val="both"/>
        <w:rPr>
          <w:rFonts w:ascii="Arial" w:hAnsi="Arial" w:cs="Arial"/>
          <w:sz w:val="22"/>
          <w:szCs w:val="22"/>
        </w:rPr>
      </w:pPr>
      <w:r w:rsidRPr="00220F04">
        <w:rPr>
          <w:rFonts w:ascii="Arial" w:hAnsi="Arial" w:cs="Arial"/>
          <w:sz w:val="22"/>
          <w:szCs w:val="22"/>
        </w:rPr>
        <w:t xml:space="preserve">Uprava družbe v skladu z ZGD predlaga, da 102.279 Eur preostalega ugotovljenega čistega dobička v letu 2016 ostane nerazporejen za izvedbo poračuna cen OJS, ostali del v višini 36.946,65 Eur pa se razporedi v Druge rezerve iz dobička. </w:t>
      </w:r>
    </w:p>
    <w:p w:rsidR="00220F04" w:rsidRPr="00220F04" w:rsidRDefault="00220F04" w:rsidP="00220F04">
      <w:pPr>
        <w:jc w:val="both"/>
        <w:rPr>
          <w:rFonts w:ascii="Arial" w:hAnsi="Arial" w:cs="Arial"/>
          <w:sz w:val="22"/>
          <w:szCs w:val="22"/>
        </w:rPr>
      </w:pPr>
    </w:p>
    <w:p w:rsidR="00220F04" w:rsidRPr="00220F04" w:rsidRDefault="00220F04" w:rsidP="00220F04">
      <w:pPr>
        <w:pStyle w:val="Naslov3"/>
        <w:spacing w:before="0"/>
        <w:rPr>
          <w:rFonts w:ascii="Arial" w:hAnsi="Arial" w:cs="Arial"/>
          <w:i/>
          <w:sz w:val="22"/>
          <w:szCs w:val="22"/>
        </w:rPr>
      </w:pPr>
      <w:bookmarkStart w:id="7" w:name="_Toc478983022"/>
      <w:bookmarkStart w:id="8" w:name="_Toc393701215"/>
      <w:bookmarkStart w:id="9" w:name="_Toc393695838"/>
      <w:r w:rsidRPr="00220F04">
        <w:rPr>
          <w:rFonts w:ascii="Arial" w:hAnsi="Arial" w:cs="Arial"/>
          <w:i/>
          <w:sz w:val="22"/>
          <w:szCs w:val="22"/>
        </w:rPr>
        <w:t>Načrti za prihodnost</w:t>
      </w:r>
      <w:bookmarkEnd w:id="7"/>
      <w:bookmarkEnd w:id="8"/>
      <w:bookmarkEnd w:id="9"/>
    </w:p>
    <w:p w:rsidR="00220F04" w:rsidRPr="00220F04" w:rsidRDefault="00220F04" w:rsidP="00220F04">
      <w:pPr>
        <w:autoSpaceDE w:val="0"/>
        <w:autoSpaceDN w:val="0"/>
        <w:adjustRightInd w:val="0"/>
        <w:jc w:val="both"/>
        <w:rPr>
          <w:rFonts w:ascii="Arial" w:hAnsi="Arial" w:cs="Arial"/>
          <w:sz w:val="22"/>
          <w:szCs w:val="22"/>
        </w:rPr>
      </w:pPr>
    </w:p>
    <w:p w:rsidR="00220F04" w:rsidRPr="00220F04" w:rsidRDefault="00220F04" w:rsidP="00220F04">
      <w:pPr>
        <w:autoSpaceDE w:val="0"/>
        <w:autoSpaceDN w:val="0"/>
        <w:adjustRightInd w:val="0"/>
        <w:jc w:val="both"/>
        <w:rPr>
          <w:rFonts w:ascii="Arial" w:hAnsi="Arial" w:cs="Arial"/>
          <w:sz w:val="22"/>
          <w:szCs w:val="22"/>
        </w:rPr>
      </w:pPr>
      <w:r w:rsidRPr="00220F04">
        <w:rPr>
          <w:rFonts w:ascii="Arial" w:hAnsi="Arial" w:cs="Arial"/>
          <w:sz w:val="22"/>
          <w:szCs w:val="22"/>
        </w:rPr>
        <w:t xml:space="preserve">Naši načrti za prihodnost so oblikovani na podlagi vizije našega podjetja, s katero želimo in nameravamo dosegati kakovost storitev po standardih razvitih držav za najnižjo možno ceno. Zagotavljati želimo trajno, zanesljivo, redno in kakovostno oskrbo uporabnikov ter obvladovati ukrepe za varstvo okolja skladno z zakonodajo ter specifičnimi potrebami lokalnega okolja, standardi, možnostmi znanosti, tehnologije in tehnike. </w:t>
      </w:r>
    </w:p>
    <w:p w:rsidR="00220F04" w:rsidRPr="00220F04" w:rsidRDefault="00220F04" w:rsidP="00220F04">
      <w:pPr>
        <w:autoSpaceDE w:val="0"/>
        <w:autoSpaceDN w:val="0"/>
        <w:adjustRightInd w:val="0"/>
        <w:jc w:val="both"/>
        <w:rPr>
          <w:rFonts w:ascii="Arial" w:hAnsi="Arial" w:cs="Arial"/>
          <w:sz w:val="22"/>
          <w:szCs w:val="22"/>
        </w:rPr>
      </w:pPr>
      <w:r w:rsidRPr="00220F04">
        <w:rPr>
          <w:rFonts w:ascii="Arial" w:hAnsi="Arial" w:cs="Arial"/>
          <w:sz w:val="22"/>
          <w:szCs w:val="22"/>
        </w:rPr>
        <w:t>V skladu s tem bomo veliko energije posvečali uvajanju novih prijemov in določenih manjših a učinkovitih tehnoloških rešitev, predvsem na področju nadzora puščanj vodovodnega sistema in nadzora delovanja kanalizacijskega omrežja. Veliko strokovnega dela nas čaka na področju obdelave biorazgradljivih, gradbenih in drugih vrst odpadkov, pri organizaciji dela podjetja pa nas največ izzivov čaka na področju upravljanja manjših vaških vodovodov in na področju upravljanje cest v občini Ajdovščina.</w:t>
      </w:r>
    </w:p>
    <w:p w:rsidR="00220F04" w:rsidRPr="00220F04" w:rsidRDefault="00220F04" w:rsidP="00220F04">
      <w:pPr>
        <w:jc w:val="both"/>
        <w:rPr>
          <w:rFonts w:ascii="Arial" w:hAnsi="Arial" w:cs="Arial"/>
          <w:sz w:val="22"/>
          <w:szCs w:val="22"/>
        </w:rPr>
      </w:pPr>
      <w:r w:rsidRPr="00220F04">
        <w:rPr>
          <w:rFonts w:ascii="Arial" w:hAnsi="Arial" w:cs="Arial"/>
          <w:sz w:val="22"/>
          <w:szCs w:val="22"/>
        </w:rPr>
        <w:t>Poleg navedenega ostaja naša ključna naloga stalno osveščanje prebivalcev o pomenu pravilnega odnosa do okolja in vzdrževanje aktivne medsebojne komunikacije z uporabniki.</w:t>
      </w:r>
    </w:p>
    <w:p w:rsidR="00E12E7B" w:rsidRDefault="00E12E7B" w:rsidP="00220F04">
      <w:pPr>
        <w:jc w:val="both"/>
        <w:rPr>
          <w:rFonts w:ascii="Arial" w:hAnsi="Arial" w:cs="Arial"/>
          <w:sz w:val="22"/>
          <w:szCs w:val="22"/>
        </w:rPr>
      </w:pPr>
    </w:p>
    <w:p w:rsidR="00220F04" w:rsidRDefault="00220F04" w:rsidP="00220F04">
      <w:pPr>
        <w:jc w:val="both"/>
        <w:rPr>
          <w:rFonts w:ascii="Arial" w:hAnsi="Arial" w:cs="Arial"/>
          <w:sz w:val="22"/>
          <w:szCs w:val="22"/>
        </w:rPr>
      </w:pPr>
      <w:r>
        <w:rPr>
          <w:rFonts w:ascii="Arial" w:hAnsi="Arial" w:cs="Arial"/>
          <w:sz w:val="22"/>
          <w:szCs w:val="22"/>
        </w:rPr>
        <w:t xml:space="preserve">Pripravil; </w:t>
      </w:r>
    </w:p>
    <w:p w:rsidR="00220F04" w:rsidRPr="00220F04" w:rsidRDefault="00220F04" w:rsidP="00220F04">
      <w:pPr>
        <w:jc w:val="both"/>
        <w:rPr>
          <w:rFonts w:ascii="Arial" w:hAnsi="Arial" w:cs="Arial"/>
          <w:sz w:val="22"/>
          <w:szCs w:val="22"/>
        </w:rPr>
      </w:pPr>
      <w:r w:rsidRPr="00220F04">
        <w:rPr>
          <w:rFonts w:ascii="Arial" w:hAnsi="Arial" w:cs="Arial"/>
          <w:sz w:val="22"/>
          <w:szCs w:val="22"/>
        </w:rPr>
        <w:t>Direktor:</w:t>
      </w:r>
      <w:r>
        <w:rPr>
          <w:rFonts w:ascii="Arial" w:hAnsi="Arial" w:cs="Arial"/>
          <w:sz w:val="22"/>
          <w:szCs w:val="22"/>
        </w:rPr>
        <w:t xml:space="preserve"> m</w:t>
      </w:r>
      <w:r w:rsidRPr="00220F04">
        <w:rPr>
          <w:rFonts w:ascii="Arial" w:hAnsi="Arial" w:cs="Arial"/>
          <w:sz w:val="22"/>
          <w:szCs w:val="22"/>
        </w:rPr>
        <w:t>ag. Egon Stopar, l.</w:t>
      </w:r>
      <w:r w:rsidR="00B12730">
        <w:rPr>
          <w:rFonts w:ascii="Arial" w:hAnsi="Arial" w:cs="Arial"/>
          <w:sz w:val="22"/>
          <w:szCs w:val="22"/>
        </w:rPr>
        <w:t xml:space="preserve"> </w:t>
      </w:r>
      <w:r w:rsidRPr="00220F04">
        <w:rPr>
          <w:rFonts w:ascii="Arial" w:hAnsi="Arial" w:cs="Arial"/>
          <w:sz w:val="22"/>
          <w:szCs w:val="22"/>
        </w:rPr>
        <w:t>r.</w:t>
      </w:r>
    </w:p>
    <w:p w:rsidR="00220F04" w:rsidRPr="00220F04" w:rsidRDefault="00220F04" w:rsidP="00220F04">
      <w:pPr>
        <w:jc w:val="both"/>
        <w:rPr>
          <w:rFonts w:ascii="Arial" w:hAnsi="Arial" w:cs="Arial"/>
          <w:sz w:val="22"/>
          <w:szCs w:val="22"/>
        </w:rPr>
      </w:pPr>
    </w:p>
    <w:p w:rsidR="00D52313" w:rsidRPr="001E31A5" w:rsidRDefault="00D52313" w:rsidP="00B95570">
      <w:pPr>
        <w:rPr>
          <w:rFonts w:ascii="Arial" w:hAnsi="Arial" w:cs="Arial"/>
          <w:bCs/>
          <w:sz w:val="22"/>
          <w:szCs w:val="22"/>
        </w:rPr>
      </w:pPr>
    </w:p>
    <w:p w:rsidR="00FF2A3C" w:rsidRDefault="00D52313" w:rsidP="00B95570">
      <w:pPr>
        <w:rPr>
          <w:rFonts w:ascii="Arial" w:hAnsi="Arial" w:cs="Arial"/>
          <w:b/>
          <w:bCs/>
          <w:sz w:val="22"/>
          <w:szCs w:val="22"/>
        </w:rPr>
      </w:pPr>
      <w:r w:rsidRPr="001E31A5">
        <w:rPr>
          <w:rFonts w:ascii="Arial" w:hAnsi="Arial" w:cs="Arial"/>
          <w:b/>
          <w:bCs/>
          <w:sz w:val="22"/>
          <w:szCs w:val="22"/>
        </w:rPr>
        <w:t>4</w:t>
      </w:r>
      <w:r w:rsidR="00FF2A3C" w:rsidRPr="001E31A5">
        <w:rPr>
          <w:rFonts w:ascii="Arial" w:hAnsi="Arial" w:cs="Arial"/>
          <w:b/>
          <w:bCs/>
          <w:sz w:val="22"/>
          <w:szCs w:val="22"/>
        </w:rPr>
        <w:t xml:space="preserve">. </w:t>
      </w:r>
      <w:r w:rsidRPr="001E31A5">
        <w:rPr>
          <w:rFonts w:ascii="Arial" w:hAnsi="Arial" w:cs="Arial"/>
          <w:b/>
          <w:bCs/>
          <w:sz w:val="22"/>
          <w:szCs w:val="22"/>
        </w:rPr>
        <w:t>točka</w:t>
      </w:r>
      <w:r w:rsidR="00EE128F">
        <w:rPr>
          <w:rFonts w:ascii="Arial" w:hAnsi="Arial" w:cs="Arial"/>
          <w:b/>
          <w:bCs/>
          <w:sz w:val="22"/>
          <w:szCs w:val="22"/>
        </w:rPr>
        <w:t>:</w:t>
      </w:r>
      <w:r w:rsidR="00FF2A3C" w:rsidRPr="001E31A5">
        <w:rPr>
          <w:rFonts w:ascii="Arial" w:hAnsi="Arial" w:cs="Arial"/>
          <w:b/>
          <w:bCs/>
          <w:sz w:val="22"/>
          <w:szCs w:val="22"/>
        </w:rPr>
        <w:t xml:space="preserve"> Cene komunalnih storitev</w:t>
      </w:r>
    </w:p>
    <w:p w:rsidR="00E12E7B" w:rsidRPr="001E31A5" w:rsidRDefault="00E12E7B" w:rsidP="00B95570">
      <w:pPr>
        <w:rPr>
          <w:rFonts w:ascii="Arial" w:hAnsi="Arial" w:cs="Arial"/>
          <w:b/>
          <w:bCs/>
          <w:sz w:val="22"/>
          <w:szCs w:val="22"/>
        </w:rPr>
      </w:pPr>
    </w:p>
    <w:p w:rsidR="00AB337D" w:rsidRPr="001E31A5" w:rsidRDefault="00AB337D" w:rsidP="00AB337D">
      <w:pPr>
        <w:autoSpaceDE w:val="0"/>
        <w:autoSpaceDN w:val="0"/>
        <w:adjustRightInd w:val="0"/>
        <w:jc w:val="both"/>
        <w:rPr>
          <w:rFonts w:ascii="Arial" w:hAnsi="Arial" w:cs="Arial"/>
          <w:sz w:val="22"/>
          <w:szCs w:val="22"/>
        </w:rPr>
      </w:pPr>
      <w:proofErr w:type="spellStart"/>
      <w:r w:rsidRPr="001E31A5">
        <w:rPr>
          <w:rFonts w:ascii="Arial" w:hAnsi="Arial" w:cs="Arial"/>
          <w:sz w:val="22"/>
          <w:szCs w:val="22"/>
          <w:lang w:val="en-US"/>
        </w:rPr>
        <w:t>Razlog</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za</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spremembo</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cen</w:t>
      </w:r>
      <w:proofErr w:type="spellEnd"/>
      <w:r w:rsidRPr="001E31A5">
        <w:rPr>
          <w:rFonts w:ascii="Arial" w:hAnsi="Arial" w:cs="Arial"/>
          <w:sz w:val="22"/>
          <w:szCs w:val="22"/>
          <w:lang w:val="en-US"/>
        </w:rPr>
        <w:t xml:space="preserve"> je </w:t>
      </w:r>
      <w:proofErr w:type="spellStart"/>
      <w:r w:rsidRPr="001E31A5">
        <w:rPr>
          <w:rFonts w:ascii="Arial" w:hAnsi="Arial" w:cs="Arial"/>
          <w:sz w:val="22"/>
          <w:szCs w:val="22"/>
          <w:lang w:val="en-US"/>
        </w:rPr>
        <w:t>njihova</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uskladitev</w:t>
      </w:r>
      <w:proofErr w:type="spellEnd"/>
      <w:r w:rsidRPr="001E31A5">
        <w:rPr>
          <w:rFonts w:ascii="Arial" w:hAnsi="Arial" w:cs="Arial"/>
          <w:sz w:val="22"/>
          <w:szCs w:val="22"/>
          <w:lang w:val="en-US"/>
        </w:rPr>
        <w:t xml:space="preserve"> </w:t>
      </w:r>
      <w:proofErr w:type="spellStart"/>
      <w:proofErr w:type="gramStart"/>
      <w:r w:rsidRPr="001E31A5">
        <w:rPr>
          <w:rFonts w:ascii="Arial" w:hAnsi="Arial" w:cs="Arial"/>
          <w:sz w:val="22"/>
          <w:szCs w:val="22"/>
          <w:lang w:val="en-US"/>
        </w:rPr>
        <w:t>na</w:t>
      </w:r>
      <w:proofErr w:type="spellEnd"/>
      <w:proofErr w:type="gramEnd"/>
      <w:r w:rsidRPr="001E31A5">
        <w:rPr>
          <w:rFonts w:ascii="Arial" w:hAnsi="Arial" w:cs="Arial"/>
          <w:sz w:val="22"/>
          <w:szCs w:val="22"/>
          <w:lang w:val="en-US"/>
        </w:rPr>
        <w:t xml:space="preserve"> </w:t>
      </w:r>
      <w:proofErr w:type="spellStart"/>
      <w:r w:rsidRPr="001E31A5">
        <w:rPr>
          <w:rFonts w:ascii="Arial" w:hAnsi="Arial" w:cs="Arial"/>
          <w:sz w:val="22"/>
          <w:szCs w:val="22"/>
          <w:lang w:val="en-US"/>
        </w:rPr>
        <w:t>osnovi</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veljavnih</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predpisov</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ob</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upoštevanju</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predvidenih</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stroškov</w:t>
      </w:r>
      <w:proofErr w:type="spellEnd"/>
      <w:r w:rsidRPr="001E31A5">
        <w:rPr>
          <w:rFonts w:ascii="Arial" w:hAnsi="Arial" w:cs="Arial"/>
          <w:sz w:val="22"/>
          <w:szCs w:val="22"/>
          <w:lang w:val="en-US"/>
        </w:rPr>
        <w:t xml:space="preserve"> in </w:t>
      </w:r>
      <w:proofErr w:type="spellStart"/>
      <w:r w:rsidRPr="001E31A5">
        <w:rPr>
          <w:rFonts w:ascii="Arial" w:hAnsi="Arial" w:cs="Arial"/>
          <w:sz w:val="22"/>
          <w:szCs w:val="22"/>
          <w:lang w:val="en-US"/>
        </w:rPr>
        <w:t>količin</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storitev</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Cene</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omrežnin</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za</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vse</w:t>
      </w:r>
      <w:proofErr w:type="spellEnd"/>
      <w:r w:rsidRPr="001E31A5">
        <w:rPr>
          <w:rFonts w:ascii="Arial" w:hAnsi="Arial" w:cs="Arial"/>
          <w:sz w:val="22"/>
          <w:szCs w:val="22"/>
          <w:lang w:val="en-US"/>
        </w:rPr>
        <w:t xml:space="preserve"> tri </w:t>
      </w:r>
      <w:proofErr w:type="spellStart"/>
      <w:r w:rsidRPr="001E31A5">
        <w:rPr>
          <w:rFonts w:ascii="Arial" w:hAnsi="Arial" w:cs="Arial"/>
          <w:sz w:val="22"/>
          <w:szCs w:val="22"/>
          <w:lang w:val="en-US"/>
        </w:rPr>
        <w:t>dejavn</w:t>
      </w:r>
      <w:r w:rsidR="00EE34FE">
        <w:rPr>
          <w:rFonts w:ascii="Arial" w:hAnsi="Arial" w:cs="Arial"/>
          <w:sz w:val="22"/>
          <w:szCs w:val="22"/>
          <w:lang w:val="en-US"/>
        </w:rPr>
        <w:t>o</w:t>
      </w:r>
      <w:r w:rsidRPr="001E31A5">
        <w:rPr>
          <w:rFonts w:ascii="Arial" w:hAnsi="Arial" w:cs="Arial"/>
          <w:sz w:val="22"/>
          <w:szCs w:val="22"/>
          <w:lang w:val="en-US"/>
        </w:rPr>
        <w:t>sti</w:t>
      </w:r>
      <w:proofErr w:type="spellEnd"/>
      <w:r w:rsidRPr="001E31A5">
        <w:rPr>
          <w:rFonts w:ascii="Arial" w:hAnsi="Arial" w:cs="Arial"/>
          <w:sz w:val="22"/>
          <w:szCs w:val="22"/>
          <w:lang w:val="en-US"/>
        </w:rPr>
        <w:t xml:space="preserve"> pa </w:t>
      </w:r>
      <w:proofErr w:type="spellStart"/>
      <w:r w:rsidRPr="001E31A5">
        <w:rPr>
          <w:rFonts w:ascii="Arial" w:hAnsi="Arial" w:cs="Arial"/>
          <w:sz w:val="22"/>
          <w:szCs w:val="22"/>
          <w:lang w:val="en-US"/>
        </w:rPr>
        <w:t>ostajajo</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nespremenjene</w:t>
      </w:r>
      <w:proofErr w:type="spellEnd"/>
      <w:r w:rsidRPr="001E31A5">
        <w:rPr>
          <w:rFonts w:ascii="Arial" w:hAnsi="Arial" w:cs="Arial"/>
          <w:sz w:val="22"/>
          <w:szCs w:val="22"/>
          <w:lang w:val="en-US"/>
        </w:rPr>
        <w:t>.</w:t>
      </w:r>
    </w:p>
    <w:p w:rsidR="00AB337D" w:rsidRPr="001E31A5" w:rsidRDefault="00AB337D" w:rsidP="00AB337D">
      <w:pPr>
        <w:autoSpaceDE w:val="0"/>
        <w:autoSpaceDN w:val="0"/>
        <w:adjustRightInd w:val="0"/>
        <w:spacing w:after="120"/>
        <w:jc w:val="both"/>
        <w:rPr>
          <w:rFonts w:ascii="Arial" w:hAnsi="Arial" w:cs="Arial"/>
          <w:sz w:val="22"/>
          <w:szCs w:val="22"/>
        </w:rPr>
      </w:pPr>
      <w:proofErr w:type="spellStart"/>
      <w:r w:rsidRPr="001E31A5">
        <w:rPr>
          <w:rFonts w:ascii="Arial" w:hAnsi="Arial" w:cs="Arial"/>
          <w:sz w:val="22"/>
          <w:szCs w:val="22"/>
          <w:lang w:val="en-US"/>
        </w:rPr>
        <w:t>Mesečni</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izdatek</w:t>
      </w:r>
      <w:proofErr w:type="spellEnd"/>
      <w:r w:rsidR="00D52313" w:rsidRPr="001E31A5">
        <w:rPr>
          <w:rFonts w:ascii="Arial" w:hAnsi="Arial" w:cs="Arial"/>
          <w:sz w:val="22"/>
          <w:szCs w:val="22"/>
          <w:lang w:val="en-US"/>
        </w:rPr>
        <w:t xml:space="preserve"> se </w:t>
      </w:r>
      <w:proofErr w:type="spellStart"/>
      <w:r w:rsidR="00D52313" w:rsidRPr="001E31A5">
        <w:rPr>
          <w:rFonts w:ascii="Arial" w:hAnsi="Arial" w:cs="Arial"/>
          <w:sz w:val="22"/>
          <w:szCs w:val="22"/>
          <w:lang w:val="en-US"/>
        </w:rPr>
        <w:t>zniža</w:t>
      </w:r>
      <w:proofErr w:type="spellEnd"/>
      <w:r w:rsidR="00D52313" w:rsidRPr="001E31A5">
        <w:rPr>
          <w:rFonts w:ascii="Arial" w:hAnsi="Arial" w:cs="Arial"/>
          <w:sz w:val="22"/>
          <w:szCs w:val="22"/>
          <w:lang w:val="en-US"/>
        </w:rPr>
        <w:t xml:space="preserve"> in </w:t>
      </w:r>
      <w:proofErr w:type="spellStart"/>
      <w:r w:rsidR="00D52313" w:rsidRPr="001E31A5">
        <w:rPr>
          <w:rFonts w:ascii="Arial" w:hAnsi="Arial" w:cs="Arial"/>
          <w:sz w:val="22"/>
          <w:szCs w:val="22"/>
          <w:lang w:val="en-US"/>
        </w:rPr>
        <w:t>sicer</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za</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vse</w:t>
      </w:r>
      <w:proofErr w:type="spellEnd"/>
      <w:r w:rsidRPr="001E31A5">
        <w:rPr>
          <w:rFonts w:ascii="Arial" w:hAnsi="Arial" w:cs="Arial"/>
          <w:sz w:val="22"/>
          <w:szCs w:val="22"/>
          <w:lang w:val="en-US"/>
        </w:rPr>
        <w:t xml:space="preserve"> tri </w:t>
      </w:r>
      <w:proofErr w:type="spellStart"/>
      <w:r w:rsidRPr="001E31A5">
        <w:rPr>
          <w:rFonts w:ascii="Arial" w:hAnsi="Arial" w:cs="Arial"/>
          <w:sz w:val="22"/>
          <w:szCs w:val="22"/>
          <w:lang w:val="en-US"/>
        </w:rPr>
        <w:t>komunalne</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storitve</w:t>
      </w:r>
      <w:proofErr w:type="spellEnd"/>
      <w:r w:rsidR="00996E17" w:rsidRPr="001E31A5">
        <w:rPr>
          <w:rFonts w:ascii="Arial" w:hAnsi="Arial" w:cs="Arial"/>
          <w:sz w:val="22"/>
          <w:szCs w:val="22"/>
          <w:lang w:val="en-US"/>
        </w:rPr>
        <w:t xml:space="preserve"> </w:t>
      </w:r>
      <w:proofErr w:type="spellStart"/>
      <w:r w:rsidR="00996E17" w:rsidRPr="001E31A5">
        <w:rPr>
          <w:rFonts w:ascii="Arial" w:hAnsi="Arial" w:cs="Arial"/>
          <w:sz w:val="22"/>
          <w:szCs w:val="22"/>
          <w:lang w:val="en-US"/>
        </w:rPr>
        <w:t>za</w:t>
      </w:r>
      <w:proofErr w:type="spellEnd"/>
      <w:r w:rsidR="00996E17" w:rsidRPr="001E31A5">
        <w:rPr>
          <w:rFonts w:ascii="Arial" w:hAnsi="Arial" w:cs="Arial"/>
          <w:sz w:val="22"/>
          <w:szCs w:val="22"/>
          <w:lang w:val="en-US"/>
        </w:rPr>
        <w:t xml:space="preserve"> </w:t>
      </w:r>
      <w:proofErr w:type="spellStart"/>
      <w:r w:rsidR="00996E17" w:rsidRPr="001E31A5">
        <w:rPr>
          <w:rFonts w:ascii="Arial" w:hAnsi="Arial" w:cs="Arial"/>
          <w:sz w:val="22"/>
          <w:szCs w:val="22"/>
          <w:lang w:val="en-US"/>
        </w:rPr>
        <w:t>štiričlansko</w:t>
      </w:r>
      <w:proofErr w:type="spellEnd"/>
      <w:r w:rsidR="00996E17" w:rsidRPr="001E31A5">
        <w:rPr>
          <w:rFonts w:ascii="Arial" w:hAnsi="Arial" w:cs="Arial"/>
          <w:sz w:val="22"/>
          <w:szCs w:val="22"/>
          <w:lang w:val="en-US"/>
        </w:rPr>
        <w:t xml:space="preserve"> </w:t>
      </w:r>
      <w:proofErr w:type="spellStart"/>
      <w:r w:rsidR="00996E17" w:rsidRPr="001E31A5">
        <w:rPr>
          <w:rFonts w:ascii="Arial" w:hAnsi="Arial" w:cs="Arial"/>
          <w:sz w:val="22"/>
          <w:szCs w:val="22"/>
          <w:lang w:val="en-US"/>
        </w:rPr>
        <w:t>družino</w:t>
      </w:r>
      <w:proofErr w:type="spellEnd"/>
      <w:r w:rsidR="00996E17" w:rsidRPr="001E31A5">
        <w:rPr>
          <w:rFonts w:ascii="Arial" w:hAnsi="Arial" w:cs="Arial"/>
          <w:sz w:val="22"/>
          <w:szCs w:val="22"/>
          <w:lang w:val="en-US"/>
        </w:rPr>
        <w:t xml:space="preserve"> s </w:t>
      </w:r>
      <w:proofErr w:type="spellStart"/>
      <w:r w:rsidR="00996E17" w:rsidRPr="001E31A5">
        <w:rPr>
          <w:rFonts w:ascii="Arial" w:hAnsi="Arial" w:cs="Arial"/>
          <w:sz w:val="22"/>
          <w:szCs w:val="22"/>
          <w:lang w:val="en-US"/>
        </w:rPr>
        <w:t>predvideno</w:t>
      </w:r>
      <w:proofErr w:type="spellEnd"/>
      <w:r w:rsidR="00996E17" w:rsidRPr="001E31A5">
        <w:rPr>
          <w:rFonts w:ascii="Arial" w:hAnsi="Arial" w:cs="Arial"/>
          <w:sz w:val="22"/>
          <w:szCs w:val="22"/>
          <w:lang w:val="en-US"/>
        </w:rPr>
        <w:t xml:space="preserve"> </w:t>
      </w:r>
      <w:proofErr w:type="spellStart"/>
      <w:r w:rsidR="00996E17" w:rsidRPr="001E31A5">
        <w:rPr>
          <w:rFonts w:ascii="Arial" w:hAnsi="Arial" w:cs="Arial"/>
          <w:sz w:val="22"/>
          <w:szCs w:val="22"/>
          <w:lang w:val="en-US"/>
        </w:rPr>
        <w:t>porabo</w:t>
      </w:r>
      <w:proofErr w:type="spellEnd"/>
      <w:r w:rsidR="00996E17" w:rsidRPr="001E31A5">
        <w:rPr>
          <w:rFonts w:ascii="Arial" w:hAnsi="Arial" w:cs="Arial"/>
          <w:sz w:val="22"/>
          <w:szCs w:val="22"/>
          <w:lang w:val="en-US"/>
        </w:rPr>
        <w:t xml:space="preserve"> </w:t>
      </w:r>
      <w:proofErr w:type="spellStart"/>
      <w:r w:rsidR="00996E17" w:rsidRPr="001E31A5">
        <w:rPr>
          <w:rFonts w:ascii="Arial" w:hAnsi="Arial" w:cs="Arial"/>
          <w:sz w:val="22"/>
          <w:szCs w:val="22"/>
          <w:lang w:val="en-US"/>
        </w:rPr>
        <w:t>vode</w:t>
      </w:r>
      <w:proofErr w:type="spellEnd"/>
      <w:r w:rsidR="00996E17" w:rsidRPr="001E31A5">
        <w:rPr>
          <w:rFonts w:ascii="Arial" w:hAnsi="Arial" w:cs="Arial"/>
          <w:sz w:val="22"/>
          <w:szCs w:val="22"/>
          <w:lang w:val="en-US"/>
        </w:rPr>
        <w:t xml:space="preserve"> 16m3 in DN 20</w:t>
      </w:r>
      <w:r w:rsidRPr="001E31A5">
        <w:rPr>
          <w:rFonts w:ascii="Arial" w:hAnsi="Arial" w:cs="Arial"/>
          <w:sz w:val="22"/>
          <w:szCs w:val="22"/>
          <w:lang w:val="en-US"/>
        </w:rPr>
        <w:t xml:space="preserve">, </w:t>
      </w:r>
      <w:proofErr w:type="spellStart"/>
      <w:r w:rsidRPr="001E31A5">
        <w:rPr>
          <w:rFonts w:ascii="Arial" w:hAnsi="Arial" w:cs="Arial"/>
          <w:sz w:val="22"/>
          <w:szCs w:val="22"/>
          <w:lang w:val="en-US"/>
        </w:rPr>
        <w:t>ki</w:t>
      </w:r>
      <w:proofErr w:type="spellEnd"/>
      <w:r w:rsidRPr="001E31A5">
        <w:rPr>
          <w:rFonts w:ascii="Arial" w:hAnsi="Arial" w:cs="Arial"/>
          <w:sz w:val="22"/>
          <w:szCs w:val="22"/>
          <w:lang w:val="en-US"/>
        </w:rPr>
        <w:t xml:space="preserve"> so </w:t>
      </w:r>
      <w:proofErr w:type="spellStart"/>
      <w:r w:rsidRPr="001E31A5">
        <w:rPr>
          <w:rFonts w:ascii="Arial" w:hAnsi="Arial" w:cs="Arial"/>
          <w:sz w:val="22"/>
          <w:szCs w:val="22"/>
          <w:lang w:val="en-US"/>
        </w:rPr>
        <w:t>obračunane</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na</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položnici</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bo</w:t>
      </w:r>
      <w:proofErr w:type="spellEnd"/>
      <w:r w:rsidRPr="001E31A5">
        <w:rPr>
          <w:rFonts w:ascii="Arial" w:hAnsi="Arial" w:cs="Arial"/>
          <w:sz w:val="22"/>
          <w:szCs w:val="22"/>
          <w:lang w:val="en-US"/>
        </w:rPr>
        <w:t xml:space="preserve"> </w:t>
      </w:r>
      <w:proofErr w:type="spellStart"/>
      <w:r w:rsidRPr="001E31A5">
        <w:rPr>
          <w:rFonts w:ascii="Arial" w:hAnsi="Arial" w:cs="Arial"/>
          <w:sz w:val="22"/>
          <w:szCs w:val="22"/>
          <w:lang w:val="en-US"/>
        </w:rPr>
        <w:t>namesto</w:t>
      </w:r>
      <w:proofErr w:type="spellEnd"/>
      <w:r w:rsidRPr="001E31A5">
        <w:rPr>
          <w:rFonts w:ascii="Arial" w:hAnsi="Arial" w:cs="Arial"/>
          <w:sz w:val="22"/>
          <w:szCs w:val="22"/>
          <w:lang w:val="en-US"/>
        </w:rPr>
        <w:t xml:space="preserve"> 48</w:t>
      </w:r>
      <w:proofErr w:type="gramStart"/>
      <w:r w:rsidRPr="001E31A5">
        <w:rPr>
          <w:rFonts w:ascii="Arial" w:hAnsi="Arial" w:cs="Arial"/>
          <w:sz w:val="22"/>
          <w:szCs w:val="22"/>
          <w:lang w:val="en-US"/>
        </w:rPr>
        <w:t>,76</w:t>
      </w:r>
      <w:proofErr w:type="gramEnd"/>
      <w:r w:rsidRPr="001E31A5">
        <w:rPr>
          <w:rFonts w:ascii="Arial" w:hAnsi="Arial" w:cs="Arial"/>
          <w:sz w:val="22"/>
          <w:szCs w:val="22"/>
          <w:lang w:val="en-US"/>
        </w:rPr>
        <w:t xml:space="preserve"> EUR </w:t>
      </w:r>
      <w:proofErr w:type="spellStart"/>
      <w:r w:rsidRPr="001E31A5">
        <w:rPr>
          <w:rFonts w:ascii="Arial" w:hAnsi="Arial" w:cs="Arial"/>
          <w:sz w:val="22"/>
          <w:szCs w:val="22"/>
          <w:lang w:val="en-US"/>
        </w:rPr>
        <w:t>znašal</w:t>
      </w:r>
      <w:proofErr w:type="spellEnd"/>
      <w:r w:rsidRPr="001E31A5">
        <w:rPr>
          <w:rFonts w:ascii="Arial" w:hAnsi="Arial" w:cs="Arial"/>
          <w:sz w:val="22"/>
          <w:szCs w:val="22"/>
          <w:lang w:val="en-US"/>
        </w:rPr>
        <w:t xml:space="preserve"> 48,38 EUR (</w:t>
      </w:r>
      <w:proofErr w:type="spellStart"/>
      <w:r w:rsidRPr="001E31A5">
        <w:rPr>
          <w:rFonts w:ascii="Arial" w:hAnsi="Arial" w:cs="Arial"/>
          <w:sz w:val="22"/>
          <w:szCs w:val="22"/>
          <w:lang w:val="en-US"/>
        </w:rPr>
        <w:t>oboje</w:t>
      </w:r>
      <w:proofErr w:type="spellEnd"/>
      <w:r w:rsidRPr="001E31A5">
        <w:rPr>
          <w:rFonts w:ascii="Arial" w:hAnsi="Arial" w:cs="Arial"/>
          <w:sz w:val="22"/>
          <w:szCs w:val="22"/>
          <w:lang w:val="en-US"/>
        </w:rPr>
        <w:t xml:space="preserve"> z DDV).</w:t>
      </w:r>
    </w:p>
    <w:p w:rsidR="00AB337D" w:rsidRPr="001E31A5" w:rsidRDefault="00AB337D" w:rsidP="00AB337D">
      <w:pPr>
        <w:autoSpaceDE w:val="0"/>
        <w:autoSpaceDN w:val="0"/>
        <w:adjustRightInd w:val="0"/>
        <w:jc w:val="both"/>
        <w:rPr>
          <w:rFonts w:ascii="Arial" w:hAnsi="Arial" w:cs="Arial"/>
          <w:sz w:val="22"/>
          <w:szCs w:val="22"/>
        </w:rPr>
      </w:pPr>
      <w:r w:rsidRPr="001E31A5">
        <w:rPr>
          <w:rFonts w:ascii="Arial" w:hAnsi="Arial" w:cs="Arial"/>
          <w:bCs/>
          <w:sz w:val="22"/>
          <w:szCs w:val="22"/>
        </w:rPr>
        <w:t xml:space="preserve">Pripravila: Alenka Čadež Kobol </w:t>
      </w:r>
    </w:p>
    <w:p w:rsidR="00FF2A3C" w:rsidRPr="001E31A5" w:rsidRDefault="00FF2A3C" w:rsidP="00B95570">
      <w:pPr>
        <w:rPr>
          <w:rFonts w:ascii="Arial" w:hAnsi="Arial" w:cs="Arial"/>
          <w:bCs/>
          <w:sz w:val="22"/>
          <w:szCs w:val="22"/>
        </w:rPr>
      </w:pPr>
    </w:p>
    <w:p w:rsidR="00FF2A3C" w:rsidRPr="001E31A5" w:rsidRDefault="00FF2A3C" w:rsidP="00B95570">
      <w:pPr>
        <w:rPr>
          <w:rFonts w:ascii="Arial" w:hAnsi="Arial" w:cs="Arial"/>
          <w:bCs/>
          <w:sz w:val="22"/>
          <w:szCs w:val="22"/>
        </w:rPr>
      </w:pPr>
    </w:p>
    <w:p w:rsidR="00005DFF" w:rsidRPr="001E31A5" w:rsidRDefault="00D52313" w:rsidP="00005DFF">
      <w:pPr>
        <w:autoSpaceDE w:val="0"/>
        <w:autoSpaceDN w:val="0"/>
        <w:adjustRightInd w:val="0"/>
        <w:jc w:val="both"/>
        <w:rPr>
          <w:rFonts w:ascii="Arial" w:hAnsi="Arial" w:cs="Arial"/>
          <w:b/>
          <w:sz w:val="22"/>
          <w:szCs w:val="22"/>
        </w:rPr>
      </w:pPr>
      <w:r w:rsidRPr="001E31A5">
        <w:rPr>
          <w:rFonts w:ascii="Arial" w:hAnsi="Arial" w:cs="Arial"/>
          <w:b/>
          <w:sz w:val="22"/>
          <w:szCs w:val="22"/>
        </w:rPr>
        <w:t>5</w:t>
      </w:r>
      <w:r w:rsidR="00005DFF" w:rsidRPr="001E31A5">
        <w:rPr>
          <w:rFonts w:ascii="Arial" w:hAnsi="Arial" w:cs="Arial"/>
          <w:b/>
          <w:sz w:val="22"/>
          <w:szCs w:val="22"/>
        </w:rPr>
        <w:t>. točka</w:t>
      </w:r>
      <w:r w:rsidR="00EE128F">
        <w:rPr>
          <w:rFonts w:ascii="Arial" w:hAnsi="Arial" w:cs="Arial"/>
          <w:b/>
          <w:sz w:val="22"/>
          <w:szCs w:val="22"/>
        </w:rPr>
        <w:t>-</w:t>
      </w:r>
      <w:r w:rsidR="00005DFF" w:rsidRPr="001E31A5">
        <w:rPr>
          <w:rFonts w:ascii="Arial" w:hAnsi="Arial" w:cs="Arial"/>
          <w:b/>
          <w:sz w:val="22"/>
          <w:szCs w:val="22"/>
        </w:rPr>
        <w:t xml:space="preserve"> RCERO Ljubljana</w:t>
      </w:r>
    </w:p>
    <w:p w:rsidR="00005DFF" w:rsidRPr="001E31A5" w:rsidRDefault="00005DFF" w:rsidP="00005DFF">
      <w:pPr>
        <w:autoSpaceDE w:val="0"/>
        <w:autoSpaceDN w:val="0"/>
        <w:adjustRightInd w:val="0"/>
        <w:jc w:val="both"/>
        <w:rPr>
          <w:rFonts w:ascii="Arial" w:hAnsi="Arial" w:cs="Arial"/>
          <w:sz w:val="22"/>
          <w:szCs w:val="22"/>
        </w:rPr>
      </w:pPr>
    </w:p>
    <w:p w:rsidR="00005DFF" w:rsidRPr="001E31A5" w:rsidRDefault="00EE34FE" w:rsidP="00005DFF">
      <w:pPr>
        <w:autoSpaceDE w:val="0"/>
        <w:autoSpaceDN w:val="0"/>
        <w:adjustRightInd w:val="0"/>
        <w:jc w:val="both"/>
        <w:rPr>
          <w:rFonts w:ascii="Arial" w:hAnsi="Arial" w:cs="Arial"/>
          <w:bCs/>
          <w:sz w:val="22"/>
          <w:szCs w:val="22"/>
        </w:rPr>
      </w:pPr>
      <w:r>
        <w:rPr>
          <w:rFonts w:ascii="Arial" w:hAnsi="Arial" w:cs="Arial"/>
          <w:sz w:val="22"/>
          <w:szCs w:val="22"/>
        </w:rPr>
        <w:t>Z o</w:t>
      </w:r>
      <w:r w:rsidR="00005DFF" w:rsidRPr="001E31A5">
        <w:rPr>
          <w:rFonts w:ascii="Arial" w:hAnsi="Arial" w:cs="Arial"/>
          <w:sz w:val="22"/>
          <w:szCs w:val="22"/>
        </w:rPr>
        <w:t xml:space="preserve">dlokom se določajo predmet in pogoji za podelitev koncesije za izvajanje obveznih gospodarskih javnih služb obdelave določenih vrst komunalnih odpadkov in </w:t>
      </w:r>
      <w:r w:rsidR="00005DFF" w:rsidRPr="001E31A5">
        <w:rPr>
          <w:rFonts w:ascii="Arial" w:hAnsi="Arial" w:cs="Arial"/>
          <w:bCs/>
          <w:sz w:val="22"/>
          <w:szCs w:val="22"/>
        </w:rPr>
        <w:t xml:space="preserve">odlaganja ostankov predelave ali odstranjevanja komunalnih odpadkov. Občina Ajdovščina bo po sprejemu Akta o ustanovitvi sveta RCERO Ljubljana pristopila k skupnem ravnanju z odpadki v regijskem centru za ravnanje z odpadki Ljubljana. V svetu RCERO Ljubljana  bo imel predstavnik Občine Ajdovščina določeno število glasov glede na število prebivalcev občine, ki so vključene v Svet RCERO. </w:t>
      </w:r>
    </w:p>
    <w:p w:rsidR="00005DFF" w:rsidRPr="001E31A5" w:rsidRDefault="00005DFF" w:rsidP="00005DFF">
      <w:pPr>
        <w:autoSpaceDE w:val="0"/>
        <w:autoSpaceDN w:val="0"/>
        <w:adjustRightInd w:val="0"/>
        <w:jc w:val="both"/>
        <w:rPr>
          <w:rFonts w:ascii="Arial" w:hAnsi="Arial" w:cs="Arial"/>
          <w:sz w:val="22"/>
          <w:szCs w:val="22"/>
        </w:rPr>
      </w:pPr>
      <w:r w:rsidRPr="001E31A5">
        <w:rPr>
          <w:rFonts w:ascii="Arial" w:hAnsi="Arial" w:cs="Arial"/>
          <w:bCs/>
          <w:sz w:val="22"/>
          <w:szCs w:val="22"/>
        </w:rPr>
        <w:t xml:space="preserve">Pripravila: Alenka Čadež Kobol </w:t>
      </w:r>
    </w:p>
    <w:p w:rsidR="00005DFF" w:rsidRPr="001E31A5" w:rsidRDefault="00005DFF" w:rsidP="00B95570">
      <w:pPr>
        <w:rPr>
          <w:rFonts w:ascii="Arial" w:hAnsi="Arial" w:cs="Arial"/>
          <w:bCs/>
          <w:sz w:val="22"/>
          <w:szCs w:val="22"/>
        </w:rPr>
      </w:pPr>
    </w:p>
    <w:p w:rsidR="0097145C" w:rsidRPr="001E31A5" w:rsidRDefault="0097145C" w:rsidP="00682621">
      <w:pPr>
        <w:jc w:val="both"/>
        <w:rPr>
          <w:rFonts w:ascii="Arial" w:hAnsi="Arial" w:cs="Arial"/>
          <w:b/>
          <w:bCs/>
          <w:sz w:val="22"/>
          <w:szCs w:val="22"/>
        </w:rPr>
      </w:pPr>
      <w:r w:rsidRPr="001E31A5">
        <w:rPr>
          <w:rFonts w:ascii="Arial" w:hAnsi="Arial" w:cs="Arial"/>
          <w:b/>
          <w:bCs/>
          <w:sz w:val="22"/>
          <w:szCs w:val="22"/>
        </w:rPr>
        <w:t>6. točka: Odlok o spremembah in dopolnitvah Odloka o občinskih cestah v Občini Ajdovščina</w:t>
      </w:r>
    </w:p>
    <w:p w:rsidR="0097145C" w:rsidRPr="001E31A5" w:rsidRDefault="0097145C" w:rsidP="00682621">
      <w:pPr>
        <w:jc w:val="both"/>
        <w:rPr>
          <w:rFonts w:ascii="Arial" w:hAnsi="Arial" w:cs="Arial"/>
          <w:sz w:val="22"/>
          <w:szCs w:val="22"/>
        </w:rPr>
      </w:pPr>
      <w:r w:rsidRPr="001E31A5">
        <w:rPr>
          <w:rFonts w:ascii="Arial" w:hAnsi="Arial" w:cs="Arial"/>
          <w:sz w:val="22"/>
          <w:szCs w:val="22"/>
        </w:rPr>
        <w:t>Obvezno lokalno gospodarsko javno službo rednega vzdrževanja javnih poti po veljavnem odloku izvajajo krajevne skupnosti, razen tistih, za katere je Občinski svet Občine Ajdovščina sprejel sklep o spremembi izvajalca. S sprejetjem predlaganega odloka (sprememba 16. in 17.člena) bo izvajanje javne službe opravljalo javno podjetje Komunalno stanovanjska družba Ajdovščina d.o.o. in s tem prevzelo odgovornost za stanje vseh občinskih cest.</w:t>
      </w:r>
    </w:p>
    <w:p w:rsidR="0097145C" w:rsidRPr="001E31A5" w:rsidRDefault="0097145C" w:rsidP="00682621">
      <w:pPr>
        <w:contextualSpacing/>
        <w:jc w:val="both"/>
        <w:rPr>
          <w:rFonts w:ascii="Arial" w:hAnsi="Arial" w:cs="Arial"/>
          <w:sz w:val="22"/>
          <w:szCs w:val="22"/>
          <w:lang w:eastAsia="ar-SA"/>
        </w:rPr>
      </w:pPr>
      <w:r w:rsidRPr="001E31A5">
        <w:rPr>
          <w:rFonts w:ascii="Arial" w:hAnsi="Arial" w:cs="Arial"/>
          <w:sz w:val="22"/>
          <w:szCs w:val="22"/>
          <w:lang w:eastAsia="ar-SA"/>
        </w:rPr>
        <w:t>Nadzor nad izvajanjem določb odloka (sprememba 27. člena) bo izvajala Medobčinska uprava občin Šempeter-Vrtojba, Renče-Vogrsko, Miren</w:t>
      </w:r>
      <w:r w:rsidR="00601A69" w:rsidRPr="001E31A5">
        <w:rPr>
          <w:rFonts w:ascii="Arial" w:hAnsi="Arial" w:cs="Arial"/>
          <w:sz w:val="22"/>
          <w:szCs w:val="22"/>
          <w:lang w:eastAsia="ar-SA"/>
        </w:rPr>
        <w:t>-</w:t>
      </w:r>
      <w:r w:rsidR="00541D45" w:rsidRPr="001E31A5">
        <w:rPr>
          <w:rFonts w:ascii="Arial" w:hAnsi="Arial" w:cs="Arial"/>
          <w:sz w:val="22"/>
          <w:szCs w:val="22"/>
          <w:lang w:eastAsia="ar-SA"/>
        </w:rPr>
        <w:t>K</w:t>
      </w:r>
      <w:r w:rsidRPr="001E31A5">
        <w:rPr>
          <w:rFonts w:ascii="Arial" w:hAnsi="Arial" w:cs="Arial"/>
          <w:sz w:val="22"/>
          <w:szCs w:val="22"/>
          <w:lang w:eastAsia="ar-SA"/>
        </w:rPr>
        <w:t>ostanjevica, Vipava in Ajdovščina.</w:t>
      </w:r>
    </w:p>
    <w:p w:rsidR="0097145C" w:rsidRPr="001E31A5" w:rsidRDefault="0097145C" w:rsidP="00682621">
      <w:pPr>
        <w:rPr>
          <w:rFonts w:ascii="Arial" w:hAnsi="Arial" w:cs="Arial"/>
          <w:bCs/>
          <w:sz w:val="22"/>
          <w:szCs w:val="22"/>
        </w:rPr>
      </w:pPr>
    </w:p>
    <w:p w:rsidR="0097145C" w:rsidRPr="001E31A5" w:rsidRDefault="0097145C" w:rsidP="00682621">
      <w:pPr>
        <w:rPr>
          <w:rFonts w:ascii="Arial" w:hAnsi="Arial" w:cs="Arial"/>
          <w:bCs/>
          <w:sz w:val="22"/>
          <w:szCs w:val="22"/>
        </w:rPr>
      </w:pPr>
      <w:r w:rsidRPr="001E31A5">
        <w:rPr>
          <w:rFonts w:ascii="Arial" w:hAnsi="Arial" w:cs="Arial"/>
          <w:bCs/>
          <w:sz w:val="22"/>
          <w:szCs w:val="22"/>
        </w:rPr>
        <w:t>Pripravila: Irena Raspor</w:t>
      </w:r>
    </w:p>
    <w:p w:rsidR="0097145C" w:rsidRPr="001E31A5" w:rsidRDefault="0097145C" w:rsidP="00682621">
      <w:pPr>
        <w:contextualSpacing/>
        <w:jc w:val="both"/>
        <w:rPr>
          <w:rFonts w:ascii="Arial" w:hAnsi="Arial" w:cs="Arial"/>
          <w:sz w:val="22"/>
          <w:szCs w:val="22"/>
          <w:lang w:eastAsia="ar-SA"/>
        </w:rPr>
      </w:pPr>
    </w:p>
    <w:p w:rsidR="0097145C" w:rsidRPr="001E31A5" w:rsidRDefault="0097145C" w:rsidP="00682621">
      <w:pPr>
        <w:overflowPunct w:val="0"/>
        <w:autoSpaceDE w:val="0"/>
        <w:autoSpaceDN w:val="0"/>
        <w:adjustRightInd w:val="0"/>
        <w:jc w:val="both"/>
        <w:textAlignment w:val="baseline"/>
        <w:rPr>
          <w:rFonts w:ascii="Arial" w:hAnsi="Arial" w:cs="Arial"/>
          <w:b/>
          <w:bCs/>
          <w:sz w:val="22"/>
          <w:szCs w:val="22"/>
        </w:rPr>
      </w:pPr>
      <w:r w:rsidRPr="001E31A5">
        <w:rPr>
          <w:rFonts w:ascii="Arial" w:hAnsi="Arial" w:cs="Arial"/>
          <w:b/>
          <w:bCs/>
          <w:caps/>
          <w:sz w:val="22"/>
          <w:szCs w:val="22"/>
        </w:rPr>
        <w:t xml:space="preserve">7. </w:t>
      </w:r>
      <w:r w:rsidRPr="001E31A5">
        <w:rPr>
          <w:rFonts w:ascii="Arial" w:hAnsi="Arial" w:cs="Arial"/>
          <w:b/>
          <w:bCs/>
          <w:sz w:val="22"/>
          <w:szCs w:val="22"/>
        </w:rPr>
        <w:t>točka: Odlok</w:t>
      </w:r>
      <w:r w:rsidRPr="001E31A5">
        <w:rPr>
          <w:rFonts w:ascii="Arial" w:hAnsi="Arial" w:cs="Arial"/>
          <w:b/>
          <w:bCs/>
          <w:caps/>
          <w:sz w:val="22"/>
          <w:szCs w:val="22"/>
        </w:rPr>
        <w:t xml:space="preserve"> </w:t>
      </w:r>
      <w:r w:rsidRPr="001E31A5">
        <w:rPr>
          <w:rFonts w:ascii="Arial" w:hAnsi="Arial" w:cs="Arial"/>
          <w:b/>
          <w:bCs/>
          <w:sz w:val="22"/>
          <w:szCs w:val="22"/>
        </w:rPr>
        <w:t>o prenehanju veljavnosti Odloka o občinskem lokacijskem načrtu za stanovanjsko pozidavo Grivče III</w:t>
      </w:r>
    </w:p>
    <w:p w:rsidR="0097145C" w:rsidRPr="001E31A5" w:rsidRDefault="0097145C" w:rsidP="00682621">
      <w:pPr>
        <w:overflowPunct w:val="0"/>
        <w:autoSpaceDE w:val="0"/>
        <w:autoSpaceDN w:val="0"/>
        <w:adjustRightInd w:val="0"/>
        <w:jc w:val="both"/>
        <w:textAlignment w:val="baseline"/>
        <w:rPr>
          <w:rFonts w:ascii="Arial" w:hAnsi="Arial" w:cs="Arial"/>
          <w:sz w:val="22"/>
          <w:szCs w:val="22"/>
        </w:rPr>
      </w:pPr>
      <w:r w:rsidRPr="001E31A5">
        <w:rPr>
          <w:rFonts w:ascii="Arial" w:hAnsi="Arial" w:cs="Arial"/>
          <w:sz w:val="22"/>
          <w:szCs w:val="22"/>
        </w:rPr>
        <w:t xml:space="preserve">Na območju Grivče III je bil, na podlagi pobude lastnika in investitorja, sprejet Odlok </w:t>
      </w:r>
      <w:r w:rsidRPr="001E31A5">
        <w:rPr>
          <w:rFonts w:ascii="Arial" w:hAnsi="Arial" w:cs="Arial"/>
          <w:bCs/>
          <w:sz w:val="22"/>
          <w:szCs w:val="22"/>
        </w:rPr>
        <w:t>o občinskem lokacijskem načrtu za stanovanjsko pozidavo Grivče III</w:t>
      </w:r>
      <w:r w:rsidRPr="001E31A5">
        <w:rPr>
          <w:rFonts w:ascii="Arial" w:hAnsi="Arial" w:cs="Arial"/>
          <w:sz w:val="22"/>
          <w:szCs w:val="22"/>
        </w:rPr>
        <w:t xml:space="preserve"> (Uradni list RS, št. 91/07), po katerem je bila predvidena izgradnja 20 stanovanjskih objektov (11 večstanovanjskih objektov za 116 stanovanj, 7 dvostanovanjskih in 2 enostanovanjska objekta). Planirana investicija v izgradnjo stanovanjskih objektov in komunalne infrastrukture ni bila izvedena. </w:t>
      </w:r>
    </w:p>
    <w:p w:rsidR="0097145C" w:rsidRPr="001E31A5" w:rsidRDefault="0097145C" w:rsidP="00682621">
      <w:pPr>
        <w:overflowPunct w:val="0"/>
        <w:autoSpaceDE w:val="0"/>
        <w:autoSpaceDN w:val="0"/>
        <w:adjustRightInd w:val="0"/>
        <w:jc w:val="both"/>
        <w:textAlignment w:val="baseline"/>
        <w:rPr>
          <w:rFonts w:ascii="Arial" w:hAnsi="Arial" w:cs="Arial"/>
          <w:sz w:val="22"/>
          <w:szCs w:val="22"/>
        </w:rPr>
      </w:pPr>
      <w:r w:rsidRPr="001E31A5">
        <w:rPr>
          <w:rFonts w:ascii="Arial" w:hAnsi="Arial" w:cs="Arial"/>
          <w:sz w:val="22"/>
          <w:szCs w:val="22"/>
        </w:rPr>
        <w:t>Območje je nepozidano stavbno zemljišče. Lastništvo parcel se je spremenilo. Novi lastniki želijo na obravnavanem območju graditi individualne eno ali dvostanovanjske objekte. V območju mesta je stavbnih parcel za gradnjo tovrstnih stanovanjskih objektov zelo malo, medtem ko je za večstanovanjske objekte predvidenih več lokacij v mestu, ki so z urbanističnih in prometnih vidikov bolj sprejemljive. Zato sta predlog spremembe pozidave tega območja in prenehanje veljavnosti Odloka o LN Grivče III smiselna.</w:t>
      </w:r>
    </w:p>
    <w:p w:rsidR="00682621" w:rsidRPr="001E31A5" w:rsidRDefault="00682621" w:rsidP="00682621">
      <w:pPr>
        <w:overflowPunct w:val="0"/>
        <w:autoSpaceDE w:val="0"/>
        <w:autoSpaceDN w:val="0"/>
        <w:adjustRightInd w:val="0"/>
        <w:jc w:val="both"/>
        <w:textAlignment w:val="baseline"/>
        <w:rPr>
          <w:rFonts w:ascii="Arial" w:hAnsi="Arial" w:cs="Arial"/>
          <w:sz w:val="22"/>
          <w:szCs w:val="22"/>
        </w:rPr>
      </w:pPr>
    </w:p>
    <w:p w:rsidR="00682621" w:rsidRPr="001E31A5" w:rsidRDefault="00682621" w:rsidP="00682621">
      <w:pPr>
        <w:rPr>
          <w:rFonts w:ascii="Arial" w:hAnsi="Arial" w:cs="Arial"/>
          <w:bCs/>
          <w:sz w:val="22"/>
          <w:szCs w:val="22"/>
        </w:rPr>
      </w:pPr>
      <w:r w:rsidRPr="001E31A5">
        <w:rPr>
          <w:rFonts w:ascii="Arial" w:hAnsi="Arial" w:cs="Arial"/>
          <w:bCs/>
          <w:sz w:val="22"/>
          <w:szCs w:val="22"/>
        </w:rPr>
        <w:t>Pripravili: Marica Žen Brecelj, Irena Raspor</w:t>
      </w:r>
    </w:p>
    <w:p w:rsidR="00682621" w:rsidRPr="001E31A5" w:rsidRDefault="00682621" w:rsidP="00682621">
      <w:pPr>
        <w:overflowPunct w:val="0"/>
        <w:autoSpaceDE w:val="0"/>
        <w:autoSpaceDN w:val="0"/>
        <w:adjustRightInd w:val="0"/>
        <w:jc w:val="both"/>
        <w:textAlignment w:val="baseline"/>
        <w:rPr>
          <w:rFonts w:ascii="Arial" w:hAnsi="Arial" w:cs="Arial"/>
          <w:sz w:val="22"/>
          <w:szCs w:val="22"/>
        </w:rPr>
      </w:pPr>
    </w:p>
    <w:p w:rsidR="00682621" w:rsidRPr="001E31A5" w:rsidRDefault="00682621" w:rsidP="00682621">
      <w:pPr>
        <w:pStyle w:val="Naslov1"/>
        <w:jc w:val="both"/>
        <w:rPr>
          <w:rFonts w:ascii="Arial" w:hAnsi="Arial" w:cs="Arial"/>
          <w:sz w:val="22"/>
          <w:szCs w:val="22"/>
        </w:rPr>
      </w:pPr>
      <w:r w:rsidRPr="001E31A5">
        <w:rPr>
          <w:rFonts w:ascii="Arial" w:hAnsi="Arial" w:cs="Arial"/>
          <w:bCs w:val="0"/>
          <w:sz w:val="22"/>
          <w:szCs w:val="22"/>
        </w:rPr>
        <w:t>8. točka:</w:t>
      </w:r>
      <w:r w:rsidRPr="001E31A5">
        <w:rPr>
          <w:rFonts w:ascii="Arial" w:hAnsi="Arial" w:cs="Arial"/>
          <w:sz w:val="22"/>
          <w:szCs w:val="22"/>
        </w:rPr>
        <w:t xml:space="preserve"> Sklep o dispoziciji pozidave v Ajdovščini: Grivče III – Na jasi</w:t>
      </w:r>
    </w:p>
    <w:p w:rsidR="00682621" w:rsidRPr="001E31A5" w:rsidRDefault="00682621" w:rsidP="00682621">
      <w:pPr>
        <w:jc w:val="both"/>
        <w:rPr>
          <w:rFonts w:ascii="Arial" w:hAnsi="Arial" w:cs="Arial"/>
          <w:sz w:val="22"/>
          <w:szCs w:val="22"/>
          <w:shd w:val="clear" w:color="auto" w:fill="FFFFFF"/>
        </w:rPr>
      </w:pPr>
      <w:r w:rsidRPr="001E31A5">
        <w:rPr>
          <w:rFonts w:ascii="Arial" w:hAnsi="Arial" w:cs="Arial"/>
          <w:sz w:val="22"/>
          <w:szCs w:val="22"/>
          <w:shd w:val="clear" w:color="auto" w:fill="FFFFFF"/>
        </w:rPr>
        <w:t>Z dispozicijo pozidave, ki jo potrdi občinski svet, in služi tudi kot podlaga za parcelacijo zemljišč za potrebe gradnje ter za izdelavo programa opremljanja, mora biti predvidena gradnja komunalne infrastrukture, ki zagotavlja najmanj oskrbo s pitno vodo in energijo, odvajanje odplak, odstranjevanje odpadkov ter dostop na javno cesto. Dispozicije pozidave se izdela tudi v primeru, ko se na podlagi soglasja odbora za okolje in prostor izjemoma omogoča gradnja objektov na območju, za katera je s prostorskim planom občine predvideno urejanje z lokacijskim načrtom in so do njegovega sprejetja sicer dovoljeni le gradbeni posegi za potrebe vzdrževanja obstoječih objektov.</w:t>
      </w:r>
    </w:p>
    <w:p w:rsidR="00682621" w:rsidRPr="001E31A5" w:rsidRDefault="00682621" w:rsidP="00682621">
      <w:pPr>
        <w:pStyle w:val="Telobesedila"/>
        <w:jc w:val="both"/>
        <w:rPr>
          <w:rFonts w:ascii="Arial" w:hAnsi="Arial" w:cs="Arial"/>
          <w:b w:val="0"/>
          <w:sz w:val="22"/>
          <w:szCs w:val="22"/>
        </w:rPr>
      </w:pPr>
      <w:r w:rsidRPr="001E31A5">
        <w:rPr>
          <w:rFonts w:ascii="Arial" w:hAnsi="Arial" w:cs="Arial"/>
          <w:b w:val="0"/>
          <w:sz w:val="22"/>
          <w:szCs w:val="22"/>
        </w:rPr>
        <w:t>V območju mesta je stavbnih parcel za gradnjo individualnih stanovanjskih objektov zelo malo, medtem ko je za večstanovanjske objekte predvidenih več lokacij v mestu, ki so z urbanističnih in prometnih vidikov bolj sprejemljive. Zato je predlog spremembe pozidave tega območja zelo smiseln.</w:t>
      </w:r>
    </w:p>
    <w:p w:rsidR="00682621" w:rsidRPr="001E31A5" w:rsidRDefault="00682621" w:rsidP="00682621">
      <w:pPr>
        <w:overflowPunct w:val="0"/>
        <w:autoSpaceDE w:val="0"/>
        <w:autoSpaceDN w:val="0"/>
        <w:adjustRightInd w:val="0"/>
        <w:jc w:val="both"/>
        <w:textAlignment w:val="baseline"/>
        <w:rPr>
          <w:rFonts w:ascii="Arial" w:hAnsi="Arial" w:cs="Arial"/>
          <w:sz w:val="22"/>
          <w:szCs w:val="22"/>
        </w:rPr>
      </w:pPr>
    </w:p>
    <w:p w:rsidR="00682621" w:rsidRDefault="00682621" w:rsidP="00682621">
      <w:pPr>
        <w:rPr>
          <w:rFonts w:ascii="Arial" w:hAnsi="Arial" w:cs="Arial"/>
          <w:bCs/>
          <w:sz w:val="22"/>
          <w:szCs w:val="22"/>
        </w:rPr>
      </w:pPr>
      <w:r w:rsidRPr="001E31A5">
        <w:rPr>
          <w:rFonts w:ascii="Arial" w:hAnsi="Arial" w:cs="Arial"/>
          <w:bCs/>
          <w:sz w:val="22"/>
          <w:szCs w:val="22"/>
        </w:rPr>
        <w:t>Pripravili: Marica Žen Brecelj, Irena Raspor</w:t>
      </w:r>
    </w:p>
    <w:p w:rsidR="00EA5663" w:rsidRDefault="00EA5663">
      <w:pPr>
        <w:spacing w:after="160" w:line="259" w:lineRule="auto"/>
        <w:rPr>
          <w:rFonts w:ascii="Arial" w:hAnsi="Arial" w:cs="Arial"/>
          <w:bCs/>
          <w:sz w:val="22"/>
          <w:szCs w:val="22"/>
        </w:rPr>
      </w:pPr>
      <w:r>
        <w:rPr>
          <w:rFonts w:ascii="Arial" w:hAnsi="Arial" w:cs="Arial"/>
          <w:bCs/>
          <w:sz w:val="22"/>
          <w:szCs w:val="22"/>
        </w:rPr>
        <w:br w:type="page"/>
      </w:r>
    </w:p>
    <w:p w:rsidR="00876C60" w:rsidRPr="001E31A5" w:rsidRDefault="00876C60" w:rsidP="00876C60">
      <w:pPr>
        <w:rPr>
          <w:rFonts w:ascii="Arial" w:hAnsi="Arial" w:cs="Arial"/>
          <w:b/>
          <w:bCs/>
          <w:sz w:val="22"/>
          <w:szCs w:val="22"/>
        </w:rPr>
      </w:pPr>
      <w:r w:rsidRPr="001E31A5">
        <w:rPr>
          <w:rFonts w:ascii="Arial" w:hAnsi="Arial" w:cs="Arial"/>
          <w:b/>
          <w:sz w:val="22"/>
          <w:szCs w:val="22"/>
        </w:rPr>
        <w:lastRenderedPageBreak/>
        <w:t>9 točka. Letno poročilo Osnovne šole Danila Lokarja Ajdovščina in soglasja k razporeditvi presežka</w:t>
      </w:r>
    </w:p>
    <w:p w:rsidR="00876C60" w:rsidRPr="001E31A5" w:rsidRDefault="00876C60" w:rsidP="00876C60">
      <w:pPr>
        <w:pStyle w:val="Brezrazmikov"/>
        <w:numPr>
          <w:ilvl w:val="0"/>
          <w:numId w:val="4"/>
        </w:numPr>
        <w:jc w:val="both"/>
        <w:rPr>
          <w:rFonts w:ascii="Arial" w:hAnsi="Arial" w:cs="Arial"/>
        </w:rPr>
      </w:pPr>
      <w:r w:rsidRPr="001E31A5">
        <w:rPr>
          <w:rFonts w:ascii="Arial" w:hAnsi="Arial" w:cs="Arial"/>
        </w:rPr>
        <w:t>Osnovna šola Danila Lokarja Ajdovščina je v letu 2016 imela 2.964.341 EUR prihodkov.</w:t>
      </w:r>
    </w:p>
    <w:tbl>
      <w:tblPr>
        <w:tblpPr w:leftFromText="141" w:rightFromText="141" w:vertAnchor="text" w:tblpY="1"/>
        <w:tblOverlap w:val="never"/>
        <w:tblW w:w="4268" w:type="dxa"/>
        <w:tblCellMar>
          <w:left w:w="70" w:type="dxa"/>
          <w:right w:w="70" w:type="dxa"/>
        </w:tblCellMar>
        <w:tblLook w:val="04A0" w:firstRow="1" w:lastRow="0" w:firstColumn="1" w:lastColumn="0" w:noHBand="0" w:noVBand="1"/>
      </w:tblPr>
      <w:tblGrid>
        <w:gridCol w:w="1960"/>
        <w:gridCol w:w="1174"/>
        <w:gridCol w:w="1134"/>
      </w:tblGrid>
      <w:tr w:rsidR="00876C60" w:rsidRPr="001E31A5" w:rsidTr="00A875DA">
        <w:trPr>
          <w:trHeight w:val="315"/>
        </w:trPr>
        <w:tc>
          <w:tcPr>
            <w:tcW w:w="1960" w:type="dxa"/>
            <w:vMerge w:val="restart"/>
            <w:tcBorders>
              <w:top w:val="single" w:sz="12" w:space="0" w:color="FFFFFF"/>
              <w:left w:val="single" w:sz="12" w:space="0" w:color="FFFFFF"/>
              <w:bottom w:val="single" w:sz="12" w:space="0" w:color="FFFFFF"/>
              <w:right w:val="single" w:sz="12" w:space="0" w:color="FFFFFF"/>
            </w:tcBorders>
            <w:shd w:val="clear" w:color="000000" w:fill="000098"/>
            <w:vAlign w:val="center"/>
            <w:hideMark/>
          </w:tcPr>
          <w:p w:rsidR="00876C60" w:rsidRPr="001E31A5" w:rsidRDefault="00876C60" w:rsidP="00A875DA">
            <w:pPr>
              <w:jc w:val="right"/>
              <w:rPr>
                <w:rFonts w:ascii="Arial" w:hAnsi="Arial" w:cs="Arial"/>
                <w:color w:val="FFFFFF"/>
                <w:sz w:val="22"/>
                <w:szCs w:val="22"/>
              </w:rPr>
            </w:pPr>
            <w:r w:rsidRPr="001E31A5">
              <w:rPr>
                <w:rFonts w:ascii="Arial" w:hAnsi="Arial" w:cs="Arial"/>
                <w:color w:val="FFFFFF"/>
                <w:sz w:val="22"/>
                <w:szCs w:val="22"/>
              </w:rPr>
              <w:t>Vrsta prihodka</w:t>
            </w:r>
          </w:p>
        </w:tc>
        <w:tc>
          <w:tcPr>
            <w:tcW w:w="1174" w:type="dxa"/>
            <w:vMerge w:val="restart"/>
            <w:tcBorders>
              <w:top w:val="single" w:sz="12" w:space="0" w:color="FFFFFF"/>
              <w:left w:val="single" w:sz="12" w:space="0" w:color="FFFFFF"/>
              <w:bottom w:val="single" w:sz="12" w:space="0" w:color="FFFFFF"/>
              <w:right w:val="single" w:sz="12" w:space="0" w:color="FFFFFF"/>
            </w:tcBorders>
            <w:shd w:val="clear" w:color="000000" w:fill="000098"/>
            <w:vAlign w:val="center"/>
            <w:hideMark/>
          </w:tcPr>
          <w:p w:rsidR="00876C60" w:rsidRPr="001E31A5" w:rsidRDefault="00876C60" w:rsidP="00A875DA">
            <w:pPr>
              <w:jc w:val="center"/>
              <w:rPr>
                <w:rFonts w:ascii="Arial" w:hAnsi="Arial" w:cs="Arial"/>
                <w:color w:val="FFFFFF"/>
                <w:sz w:val="22"/>
                <w:szCs w:val="22"/>
              </w:rPr>
            </w:pPr>
            <w:r w:rsidRPr="001E31A5">
              <w:rPr>
                <w:rFonts w:ascii="Arial" w:hAnsi="Arial" w:cs="Arial"/>
                <w:color w:val="FFFFFF"/>
                <w:sz w:val="22"/>
                <w:szCs w:val="22"/>
              </w:rPr>
              <w:t>Prihodki 2016 (EUR)</w:t>
            </w:r>
          </w:p>
        </w:tc>
        <w:tc>
          <w:tcPr>
            <w:tcW w:w="1134" w:type="dxa"/>
            <w:tcBorders>
              <w:top w:val="single" w:sz="12" w:space="0" w:color="FFFFFF"/>
              <w:left w:val="nil"/>
              <w:bottom w:val="nil"/>
              <w:right w:val="single" w:sz="12" w:space="0" w:color="FFFFFF"/>
            </w:tcBorders>
            <w:shd w:val="clear" w:color="000000" w:fill="000098"/>
            <w:vAlign w:val="center"/>
            <w:hideMark/>
          </w:tcPr>
          <w:p w:rsidR="00876C60" w:rsidRPr="001E31A5" w:rsidRDefault="00876C60" w:rsidP="00A875DA">
            <w:pPr>
              <w:jc w:val="center"/>
              <w:rPr>
                <w:rFonts w:ascii="Arial" w:hAnsi="Arial" w:cs="Arial"/>
                <w:color w:val="FFFFFF"/>
                <w:sz w:val="22"/>
                <w:szCs w:val="22"/>
              </w:rPr>
            </w:pPr>
            <w:r w:rsidRPr="001E31A5">
              <w:rPr>
                <w:rFonts w:ascii="Arial" w:hAnsi="Arial" w:cs="Arial"/>
                <w:color w:val="FFFFFF"/>
                <w:sz w:val="22"/>
                <w:szCs w:val="22"/>
              </w:rPr>
              <w:t>Struktura 2016</w:t>
            </w:r>
          </w:p>
        </w:tc>
      </w:tr>
      <w:tr w:rsidR="00876C60" w:rsidRPr="001E31A5" w:rsidTr="00A875DA">
        <w:trPr>
          <w:trHeight w:val="315"/>
        </w:trPr>
        <w:tc>
          <w:tcPr>
            <w:tcW w:w="1960" w:type="dxa"/>
            <w:vMerge/>
            <w:tcBorders>
              <w:top w:val="single" w:sz="12" w:space="0" w:color="FFFFFF"/>
              <w:left w:val="single" w:sz="12" w:space="0" w:color="FFFFFF"/>
              <w:bottom w:val="single" w:sz="12" w:space="0" w:color="FFFFFF"/>
              <w:right w:val="single" w:sz="12" w:space="0" w:color="FFFFFF"/>
            </w:tcBorders>
            <w:vAlign w:val="center"/>
            <w:hideMark/>
          </w:tcPr>
          <w:p w:rsidR="00876C60" w:rsidRPr="001E31A5" w:rsidRDefault="00876C60" w:rsidP="00A875DA">
            <w:pPr>
              <w:rPr>
                <w:rFonts w:ascii="Arial" w:hAnsi="Arial" w:cs="Arial"/>
                <w:color w:val="FFFFFF"/>
                <w:sz w:val="22"/>
                <w:szCs w:val="22"/>
              </w:rPr>
            </w:pPr>
          </w:p>
        </w:tc>
        <w:tc>
          <w:tcPr>
            <w:tcW w:w="1174" w:type="dxa"/>
            <w:vMerge/>
            <w:tcBorders>
              <w:top w:val="single" w:sz="12" w:space="0" w:color="FFFFFF"/>
              <w:left w:val="single" w:sz="12" w:space="0" w:color="FFFFFF"/>
              <w:bottom w:val="single" w:sz="12" w:space="0" w:color="FFFFFF"/>
              <w:right w:val="single" w:sz="12" w:space="0" w:color="FFFFFF"/>
            </w:tcBorders>
            <w:vAlign w:val="center"/>
            <w:hideMark/>
          </w:tcPr>
          <w:p w:rsidR="00876C60" w:rsidRPr="001E31A5" w:rsidRDefault="00876C60" w:rsidP="00A875DA">
            <w:pPr>
              <w:rPr>
                <w:rFonts w:ascii="Arial" w:hAnsi="Arial" w:cs="Arial"/>
                <w:color w:val="FFFFFF"/>
                <w:sz w:val="22"/>
                <w:szCs w:val="22"/>
              </w:rPr>
            </w:pPr>
          </w:p>
        </w:tc>
        <w:tc>
          <w:tcPr>
            <w:tcW w:w="1134" w:type="dxa"/>
            <w:tcBorders>
              <w:top w:val="nil"/>
              <w:left w:val="nil"/>
              <w:bottom w:val="single" w:sz="12" w:space="0" w:color="FFFFFF"/>
              <w:right w:val="single" w:sz="12" w:space="0" w:color="FFFFFF"/>
            </w:tcBorders>
            <w:shd w:val="clear" w:color="000000" w:fill="000098"/>
            <w:vAlign w:val="center"/>
            <w:hideMark/>
          </w:tcPr>
          <w:p w:rsidR="00876C60" w:rsidRPr="001E31A5" w:rsidRDefault="00876C60" w:rsidP="00A875DA">
            <w:pPr>
              <w:jc w:val="center"/>
              <w:rPr>
                <w:rFonts w:ascii="Arial" w:hAnsi="Arial" w:cs="Arial"/>
                <w:color w:val="FFFFFF"/>
                <w:sz w:val="22"/>
                <w:szCs w:val="22"/>
              </w:rPr>
            </w:pPr>
            <w:r w:rsidRPr="001E31A5">
              <w:rPr>
                <w:rFonts w:ascii="Arial" w:hAnsi="Arial" w:cs="Arial"/>
                <w:color w:val="FFFFFF"/>
                <w:sz w:val="22"/>
                <w:szCs w:val="22"/>
              </w:rPr>
              <w:t>(%)</w:t>
            </w:r>
          </w:p>
        </w:tc>
      </w:tr>
      <w:tr w:rsidR="00876C60" w:rsidRPr="001E31A5" w:rsidTr="00A875DA">
        <w:trPr>
          <w:trHeight w:val="330"/>
        </w:trPr>
        <w:tc>
          <w:tcPr>
            <w:tcW w:w="1960" w:type="dxa"/>
            <w:tcBorders>
              <w:top w:val="nil"/>
              <w:left w:val="single" w:sz="12" w:space="0" w:color="FFFFFF"/>
              <w:bottom w:val="single" w:sz="12" w:space="0" w:color="FFFFFF"/>
              <w:right w:val="single" w:sz="12" w:space="0" w:color="FFFFFF"/>
            </w:tcBorders>
            <w:shd w:val="clear" w:color="000000" w:fill="C6D9F1"/>
            <w:vAlign w:val="center"/>
            <w:hideMark/>
          </w:tcPr>
          <w:p w:rsidR="00876C60" w:rsidRPr="001E31A5" w:rsidRDefault="00876C60" w:rsidP="00A875DA">
            <w:pPr>
              <w:jc w:val="right"/>
              <w:rPr>
                <w:rFonts w:ascii="Arial" w:hAnsi="Arial" w:cs="Arial"/>
                <w:sz w:val="22"/>
                <w:szCs w:val="22"/>
              </w:rPr>
            </w:pPr>
            <w:r w:rsidRPr="001E31A5">
              <w:rPr>
                <w:rFonts w:ascii="Arial" w:hAnsi="Arial" w:cs="Arial"/>
                <w:sz w:val="22"/>
                <w:szCs w:val="22"/>
              </w:rPr>
              <w:t>Prihodki MIZŠ</w:t>
            </w:r>
          </w:p>
        </w:tc>
        <w:tc>
          <w:tcPr>
            <w:tcW w:w="1174" w:type="dxa"/>
            <w:tcBorders>
              <w:top w:val="nil"/>
              <w:left w:val="nil"/>
              <w:bottom w:val="single" w:sz="12" w:space="0" w:color="FFFFFF"/>
              <w:right w:val="single" w:sz="12" w:space="0" w:color="FFFFFF"/>
            </w:tcBorders>
            <w:shd w:val="clear" w:color="000000" w:fill="C6D9F1"/>
            <w:vAlign w:val="center"/>
            <w:hideMark/>
          </w:tcPr>
          <w:p w:rsidR="00876C60" w:rsidRPr="001E31A5" w:rsidRDefault="00876C60" w:rsidP="00A875DA">
            <w:pPr>
              <w:jc w:val="right"/>
              <w:rPr>
                <w:rFonts w:ascii="Arial" w:hAnsi="Arial" w:cs="Arial"/>
                <w:color w:val="000000"/>
                <w:sz w:val="22"/>
                <w:szCs w:val="22"/>
              </w:rPr>
            </w:pPr>
            <w:r w:rsidRPr="001E31A5">
              <w:rPr>
                <w:rFonts w:ascii="Arial" w:hAnsi="Arial" w:cs="Arial"/>
                <w:color w:val="000000"/>
                <w:sz w:val="22"/>
                <w:szCs w:val="22"/>
              </w:rPr>
              <w:t>2.289.220</w:t>
            </w:r>
          </w:p>
        </w:tc>
        <w:tc>
          <w:tcPr>
            <w:tcW w:w="1134" w:type="dxa"/>
            <w:tcBorders>
              <w:top w:val="nil"/>
              <w:left w:val="nil"/>
              <w:bottom w:val="single" w:sz="12" w:space="0" w:color="FFFFFF"/>
              <w:right w:val="single" w:sz="12" w:space="0" w:color="FFFFFF"/>
            </w:tcBorders>
            <w:shd w:val="clear" w:color="000000" w:fill="C6D9F1"/>
            <w:vAlign w:val="center"/>
            <w:hideMark/>
          </w:tcPr>
          <w:p w:rsidR="00876C60" w:rsidRPr="001E31A5" w:rsidRDefault="00876C60" w:rsidP="00A875DA">
            <w:pPr>
              <w:jc w:val="center"/>
              <w:rPr>
                <w:rFonts w:ascii="Arial" w:hAnsi="Arial" w:cs="Arial"/>
                <w:color w:val="000000"/>
                <w:sz w:val="22"/>
                <w:szCs w:val="22"/>
              </w:rPr>
            </w:pPr>
            <w:r w:rsidRPr="001E31A5">
              <w:rPr>
                <w:rFonts w:ascii="Arial" w:hAnsi="Arial" w:cs="Arial"/>
                <w:color w:val="000000"/>
                <w:sz w:val="22"/>
                <w:szCs w:val="22"/>
              </w:rPr>
              <w:t>77,23</w:t>
            </w:r>
          </w:p>
        </w:tc>
      </w:tr>
      <w:tr w:rsidR="00876C60" w:rsidRPr="001E31A5" w:rsidTr="00A875DA">
        <w:trPr>
          <w:trHeight w:val="330"/>
        </w:trPr>
        <w:tc>
          <w:tcPr>
            <w:tcW w:w="1960" w:type="dxa"/>
            <w:tcBorders>
              <w:top w:val="nil"/>
              <w:left w:val="single" w:sz="12" w:space="0" w:color="FFFFFF"/>
              <w:bottom w:val="single" w:sz="12" w:space="0" w:color="FFFFFF"/>
              <w:right w:val="single" w:sz="12" w:space="0" w:color="FFFFFF"/>
            </w:tcBorders>
            <w:shd w:val="clear" w:color="000000" w:fill="C6D9F1"/>
            <w:vAlign w:val="center"/>
            <w:hideMark/>
          </w:tcPr>
          <w:p w:rsidR="00876C60" w:rsidRPr="001E31A5" w:rsidRDefault="00876C60" w:rsidP="00A875DA">
            <w:pPr>
              <w:jc w:val="right"/>
              <w:rPr>
                <w:rFonts w:ascii="Arial" w:hAnsi="Arial" w:cs="Arial"/>
                <w:sz w:val="22"/>
                <w:szCs w:val="22"/>
              </w:rPr>
            </w:pPr>
            <w:r w:rsidRPr="001E31A5">
              <w:rPr>
                <w:rFonts w:ascii="Arial" w:hAnsi="Arial" w:cs="Arial"/>
                <w:sz w:val="22"/>
                <w:szCs w:val="22"/>
              </w:rPr>
              <w:t>Prihodki Občina</w:t>
            </w:r>
          </w:p>
        </w:tc>
        <w:tc>
          <w:tcPr>
            <w:tcW w:w="1174" w:type="dxa"/>
            <w:tcBorders>
              <w:top w:val="nil"/>
              <w:left w:val="nil"/>
              <w:bottom w:val="single" w:sz="12" w:space="0" w:color="FFFFFF"/>
              <w:right w:val="single" w:sz="12" w:space="0" w:color="FFFFFF"/>
            </w:tcBorders>
            <w:shd w:val="clear" w:color="000000" w:fill="C6D9F1"/>
            <w:vAlign w:val="center"/>
            <w:hideMark/>
          </w:tcPr>
          <w:p w:rsidR="00876C60" w:rsidRPr="001E31A5" w:rsidRDefault="00876C60" w:rsidP="00A875DA">
            <w:pPr>
              <w:jc w:val="right"/>
              <w:rPr>
                <w:rFonts w:ascii="Arial" w:hAnsi="Arial" w:cs="Arial"/>
                <w:color w:val="000000"/>
                <w:sz w:val="22"/>
                <w:szCs w:val="22"/>
              </w:rPr>
            </w:pPr>
            <w:r w:rsidRPr="001E31A5">
              <w:rPr>
                <w:rFonts w:ascii="Arial" w:hAnsi="Arial" w:cs="Arial"/>
                <w:color w:val="000000"/>
                <w:sz w:val="22"/>
                <w:szCs w:val="22"/>
              </w:rPr>
              <w:t>536.225</w:t>
            </w:r>
          </w:p>
        </w:tc>
        <w:tc>
          <w:tcPr>
            <w:tcW w:w="1134" w:type="dxa"/>
            <w:tcBorders>
              <w:top w:val="nil"/>
              <w:left w:val="nil"/>
              <w:bottom w:val="single" w:sz="12" w:space="0" w:color="FFFFFF"/>
              <w:right w:val="single" w:sz="12" w:space="0" w:color="FFFFFF"/>
            </w:tcBorders>
            <w:shd w:val="clear" w:color="000000" w:fill="C6D9F1"/>
            <w:vAlign w:val="center"/>
            <w:hideMark/>
          </w:tcPr>
          <w:p w:rsidR="00876C60" w:rsidRPr="001E31A5" w:rsidRDefault="00876C60" w:rsidP="00A875DA">
            <w:pPr>
              <w:jc w:val="center"/>
              <w:rPr>
                <w:rFonts w:ascii="Arial" w:hAnsi="Arial" w:cs="Arial"/>
                <w:color w:val="000000"/>
                <w:sz w:val="22"/>
                <w:szCs w:val="22"/>
              </w:rPr>
            </w:pPr>
            <w:r w:rsidRPr="001E31A5">
              <w:rPr>
                <w:rFonts w:ascii="Arial" w:hAnsi="Arial" w:cs="Arial"/>
                <w:color w:val="000000"/>
                <w:sz w:val="22"/>
                <w:szCs w:val="22"/>
              </w:rPr>
              <w:t>18,09</w:t>
            </w:r>
          </w:p>
        </w:tc>
      </w:tr>
      <w:tr w:rsidR="00876C60" w:rsidRPr="001E31A5" w:rsidTr="00A875DA">
        <w:trPr>
          <w:trHeight w:val="330"/>
        </w:trPr>
        <w:tc>
          <w:tcPr>
            <w:tcW w:w="1960" w:type="dxa"/>
            <w:tcBorders>
              <w:top w:val="nil"/>
              <w:left w:val="single" w:sz="12" w:space="0" w:color="FFFFFF"/>
              <w:bottom w:val="single" w:sz="12" w:space="0" w:color="FFFFFF"/>
              <w:right w:val="single" w:sz="12" w:space="0" w:color="FFFFFF"/>
            </w:tcBorders>
            <w:shd w:val="clear" w:color="000000" w:fill="C6D9F1"/>
            <w:vAlign w:val="center"/>
            <w:hideMark/>
          </w:tcPr>
          <w:p w:rsidR="00876C60" w:rsidRPr="001E31A5" w:rsidRDefault="00876C60" w:rsidP="00A875DA">
            <w:pPr>
              <w:jc w:val="right"/>
              <w:rPr>
                <w:rFonts w:ascii="Arial" w:hAnsi="Arial" w:cs="Arial"/>
                <w:sz w:val="22"/>
                <w:szCs w:val="22"/>
              </w:rPr>
            </w:pPr>
            <w:r w:rsidRPr="001E31A5">
              <w:rPr>
                <w:rFonts w:ascii="Arial" w:hAnsi="Arial" w:cs="Arial"/>
                <w:sz w:val="22"/>
                <w:szCs w:val="22"/>
              </w:rPr>
              <w:t>Drugi prihodki</w:t>
            </w:r>
          </w:p>
        </w:tc>
        <w:tc>
          <w:tcPr>
            <w:tcW w:w="1174" w:type="dxa"/>
            <w:tcBorders>
              <w:top w:val="nil"/>
              <w:left w:val="nil"/>
              <w:bottom w:val="single" w:sz="12" w:space="0" w:color="FFFFFF"/>
              <w:right w:val="single" w:sz="12" w:space="0" w:color="FFFFFF"/>
            </w:tcBorders>
            <w:shd w:val="clear" w:color="000000" w:fill="C6D9F1"/>
            <w:vAlign w:val="center"/>
            <w:hideMark/>
          </w:tcPr>
          <w:p w:rsidR="00876C60" w:rsidRPr="001E31A5" w:rsidRDefault="00876C60" w:rsidP="00A875DA">
            <w:pPr>
              <w:jc w:val="right"/>
              <w:rPr>
                <w:rFonts w:ascii="Arial" w:hAnsi="Arial" w:cs="Arial"/>
                <w:color w:val="000000"/>
                <w:sz w:val="22"/>
                <w:szCs w:val="22"/>
              </w:rPr>
            </w:pPr>
            <w:r w:rsidRPr="001E31A5">
              <w:rPr>
                <w:rFonts w:ascii="Arial" w:hAnsi="Arial" w:cs="Arial"/>
                <w:color w:val="000000"/>
                <w:sz w:val="22"/>
                <w:szCs w:val="22"/>
              </w:rPr>
              <w:t>32.368</w:t>
            </w:r>
          </w:p>
        </w:tc>
        <w:tc>
          <w:tcPr>
            <w:tcW w:w="1134" w:type="dxa"/>
            <w:tcBorders>
              <w:top w:val="nil"/>
              <w:left w:val="nil"/>
              <w:bottom w:val="single" w:sz="12" w:space="0" w:color="FFFFFF"/>
              <w:right w:val="single" w:sz="12" w:space="0" w:color="FFFFFF"/>
            </w:tcBorders>
            <w:shd w:val="clear" w:color="000000" w:fill="C6D9F1"/>
            <w:vAlign w:val="center"/>
            <w:hideMark/>
          </w:tcPr>
          <w:p w:rsidR="00876C60" w:rsidRPr="001E31A5" w:rsidRDefault="00876C60" w:rsidP="00A875DA">
            <w:pPr>
              <w:jc w:val="center"/>
              <w:rPr>
                <w:rFonts w:ascii="Arial" w:hAnsi="Arial" w:cs="Arial"/>
                <w:color w:val="000000"/>
                <w:sz w:val="22"/>
                <w:szCs w:val="22"/>
              </w:rPr>
            </w:pPr>
            <w:r w:rsidRPr="001E31A5">
              <w:rPr>
                <w:rFonts w:ascii="Arial" w:hAnsi="Arial" w:cs="Arial"/>
                <w:color w:val="000000"/>
                <w:sz w:val="22"/>
                <w:szCs w:val="22"/>
              </w:rPr>
              <w:t>1,09</w:t>
            </w:r>
          </w:p>
        </w:tc>
      </w:tr>
      <w:tr w:rsidR="00876C60" w:rsidRPr="001E31A5" w:rsidTr="00A875DA">
        <w:trPr>
          <w:trHeight w:val="600"/>
        </w:trPr>
        <w:tc>
          <w:tcPr>
            <w:tcW w:w="1960" w:type="dxa"/>
            <w:tcBorders>
              <w:top w:val="nil"/>
              <w:left w:val="single" w:sz="12" w:space="0" w:color="FFFFFF"/>
              <w:bottom w:val="single" w:sz="12" w:space="0" w:color="FFFFFF"/>
              <w:right w:val="single" w:sz="12" w:space="0" w:color="FFFFFF"/>
            </w:tcBorders>
            <w:shd w:val="clear" w:color="000000" w:fill="C6D9F1"/>
            <w:vAlign w:val="center"/>
            <w:hideMark/>
          </w:tcPr>
          <w:p w:rsidR="00876C60" w:rsidRPr="001E31A5" w:rsidRDefault="00876C60" w:rsidP="00A875DA">
            <w:pPr>
              <w:jc w:val="right"/>
              <w:rPr>
                <w:rFonts w:ascii="Arial" w:hAnsi="Arial" w:cs="Arial"/>
                <w:sz w:val="22"/>
                <w:szCs w:val="22"/>
              </w:rPr>
            </w:pPr>
            <w:r w:rsidRPr="001E31A5">
              <w:rPr>
                <w:rFonts w:ascii="Arial" w:hAnsi="Arial" w:cs="Arial"/>
                <w:sz w:val="22"/>
                <w:szCs w:val="22"/>
              </w:rPr>
              <w:t>Obračun storitev učencem</w:t>
            </w:r>
          </w:p>
        </w:tc>
        <w:tc>
          <w:tcPr>
            <w:tcW w:w="1174" w:type="dxa"/>
            <w:tcBorders>
              <w:top w:val="nil"/>
              <w:left w:val="nil"/>
              <w:bottom w:val="single" w:sz="12" w:space="0" w:color="FFFFFF"/>
              <w:right w:val="single" w:sz="12" w:space="0" w:color="FFFFFF"/>
            </w:tcBorders>
            <w:shd w:val="clear" w:color="000000" w:fill="C6D9F1"/>
            <w:vAlign w:val="center"/>
            <w:hideMark/>
          </w:tcPr>
          <w:p w:rsidR="00876C60" w:rsidRPr="001E31A5" w:rsidRDefault="00876C60" w:rsidP="00A875DA">
            <w:pPr>
              <w:jc w:val="right"/>
              <w:rPr>
                <w:rFonts w:ascii="Arial" w:hAnsi="Arial" w:cs="Arial"/>
                <w:color w:val="000000"/>
                <w:sz w:val="22"/>
                <w:szCs w:val="22"/>
              </w:rPr>
            </w:pPr>
            <w:r w:rsidRPr="001E31A5">
              <w:rPr>
                <w:rFonts w:ascii="Arial" w:hAnsi="Arial" w:cs="Arial"/>
                <w:color w:val="000000"/>
                <w:sz w:val="22"/>
                <w:szCs w:val="22"/>
              </w:rPr>
              <w:t>70.062</w:t>
            </w:r>
          </w:p>
        </w:tc>
        <w:tc>
          <w:tcPr>
            <w:tcW w:w="1134" w:type="dxa"/>
            <w:tcBorders>
              <w:top w:val="nil"/>
              <w:left w:val="nil"/>
              <w:bottom w:val="single" w:sz="12" w:space="0" w:color="FFFFFF"/>
              <w:right w:val="single" w:sz="12" w:space="0" w:color="FFFFFF"/>
            </w:tcBorders>
            <w:shd w:val="clear" w:color="000000" w:fill="C6D9F1"/>
            <w:vAlign w:val="center"/>
            <w:hideMark/>
          </w:tcPr>
          <w:p w:rsidR="00876C60" w:rsidRPr="001E31A5" w:rsidRDefault="00876C60" w:rsidP="00A875DA">
            <w:pPr>
              <w:jc w:val="center"/>
              <w:rPr>
                <w:rFonts w:ascii="Arial" w:hAnsi="Arial" w:cs="Arial"/>
                <w:color w:val="000000"/>
                <w:sz w:val="22"/>
                <w:szCs w:val="22"/>
              </w:rPr>
            </w:pPr>
            <w:r w:rsidRPr="001E31A5">
              <w:rPr>
                <w:rFonts w:ascii="Arial" w:hAnsi="Arial" w:cs="Arial"/>
                <w:color w:val="000000"/>
                <w:sz w:val="22"/>
                <w:szCs w:val="22"/>
              </w:rPr>
              <w:t>2,36</w:t>
            </w:r>
          </w:p>
        </w:tc>
      </w:tr>
      <w:tr w:rsidR="00876C60" w:rsidRPr="001E31A5" w:rsidTr="00A875DA">
        <w:trPr>
          <w:trHeight w:val="330"/>
        </w:trPr>
        <w:tc>
          <w:tcPr>
            <w:tcW w:w="1960" w:type="dxa"/>
            <w:tcBorders>
              <w:top w:val="nil"/>
              <w:left w:val="single" w:sz="12" w:space="0" w:color="FFFFFF"/>
              <w:bottom w:val="single" w:sz="12" w:space="0" w:color="FFFFFF"/>
              <w:right w:val="single" w:sz="12" w:space="0" w:color="FFFFFF"/>
            </w:tcBorders>
            <w:shd w:val="clear" w:color="000000" w:fill="C6D9F1"/>
            <w:vAlign w:val="center"/>
            <w:hideMark/>
          </w:tcPr>
          <w:p w:rsidR="00876C60" w:rsidRPr="001E31A5" w:rsidRDefault="00876C60" w:rsidP="00A875DA">
            <w:pPr>
              <w:jc w:val="right"/>
              <w:rPr>
                <w:rFonts w:ascii="Arial" w:hAnsi="Arial" w:cs="Arial"/>
                <w:sz w:val="22"/>
                <w:szCs w:val="22"/>
              </w:rPr>
            </w:pPr>
            <w:r w:rsidRPr="001E31A5">
              <w:rPr>
                <w:rFonts w:ascii="Arial" w:hAnsi="Arial" w:cs="Arial"/>
                <w:sz w:val="22"/>
                <w:szCs w:val="22"/>
              </w:rPr>
              <w:t>Tržna dejavnost</w:t>
            </w:r>
          </w:p>
        </w:tc>
        <w:tc>
          <w:tcPr>
            <w:tcW w:w="1174" w:type="dxa"/>
            <w:tcBorders>
              <w:top w:val="nil"/>
              <w:left w:val="nil"/>
              <w:bottom w:val="single" w:sz="12" w:space="0" w:color="FFFFFF"/>
              <w:right w:val="single" w:sz="12" w:space="0" w:color="FFFFFF"/>
            </w:tcBorders>
            <w:shd w:val="clear" w:color="000000" w:fill="C6D9F1"/>
            <w:vAlign w:val="center"/>
            <w:hideMark/>
          </w:tcPr>
          <w:p w:rsidR="00876C60" w:rsidRPr="001E31A5" w:rsidRDefault="00876C60" w:rsidP="00A875DA">
            <w:pPr>
              <w:jc w:val="right"/>
              <w:rPr>
                <w:rFonts w:ascii="Arial" w:hAnsi="Arial" w:cs="Arial"/>
                <w:color w:val="000000"/>
                <w:sz w:val="22"/>
                <w:szCs w:val="22"/>
              </w:rPr>
            </w:pPr>
            <w:r w:rsidRPr="001E31A5">
              <w:rPr>
                <w:rFonts w:ascii="Arial" w:hAnsi="Arial" w:cs="Arial"/>
                <w:color w:val="000000"/>
                <w:sz w:val="22"/>
                <w:szCs w:val="22"/>
              </w:rPr>
              <w:t>36.466</w:t>
            </w:r>
          </w:p>
        </w:tc>
        <w:tc>
          <w:tcPr>
            <w:tcW w:w="1134" w:type="dxa"/>
            <w:tcBorders>
              <w:top w:val="nil"/>
              <w:left w:val="nil"/>
              <w:bottom w:val="single" w:sz="12" w:space="0" w:color="FFFFFF"/>
              <w:right w:val="single" w:sz="12" w:space="0" w:color="FFFFFF"/>
            </w:tcBorders>
            <w:shd w:val="clear" w:color="000000" w:fill="C6D9F1"/>
            <w:vAlign w:val="center"/>
            <w:hideMark/>
          </w:tcPr>
          <w:p w:rsidR="00876C60" w:rsidRPr="001E31A5" w:rsidRDefault="00876C60" w:rsidP="00A875DA">
            <w:pPr>
              <w:jc w:val="center"/>
              <w:rPr>
                <w:rFonts w:ascii="Arial" w:hAnsi="Arial" w:cs="Arial"/>
                <w:color w:val="000000"/>
                <w:sz w:val="22"/>
                <w:szCs w:val="22"/>
              </w:rPr>
            </w:pPr>
            <w:r w:rsidRPr="001E31A5">
              <w:rPr>
                <w:rFonts w:ascii="Arial" w:hAnsi="Arial" w:cs="Arial"/>
                <w:color w:val="000000"/>
                <w:sz w:val="22"/>
                <w:szCs w:val="22"/>
              </w:rPr>
              <w:t>1,23</w:t>
            </w:r>
          </w:p>
        </w:tc>
      </w:tr>
      <w:tr w:rsidR="00876C60" w:rsidRPr="001E31A5" w:rsidTr="00A875DA">
        <w:trPr>
          <w:trHeight w:val="330"/>
        </w:trPr>
        <w:tc>
          <w:tcPr>
            <w:tcW w:w="1960" w:type="dxa"/>
            <w:tcBorders>
              <w:top w:val="nil"/>
              <w:left w:val="single" w:sz="12" w:space="0" w:color="FFFFFF"/>
              <w:bottom w:val="single" w:sz="12" w:space="0" w:color="FFFFFF"/>
              <w:right w:val="single" w:sz="12" w:space="0" w:color="FFFFFF"/>
            </w:tcBorders>
            <w:shd w:val="clear" w:color="000000" w:fill="8DB3E2"/>
            <w:vAlign w:val="center"/>
            <w:hideMark/>
          </w:tcPr>
          <w:p w:rsidR="00876C60" w:rsidRPr="001E31A5" w:rsidRDefault="00876C60" w:rsidP="00A875DA">
            <w:pPr>
              <w:jc w:val="right"/>
              <w:rPr>
                <w:rFonts w:ascii="Arial" w:hAnsi="Arial" w:cs="Arial"/>
                <w:b/>
                <w:bCs/>
                <w:sz w:val="22"/>
                <w:szCs w:val="22"/>
              </w:rPr>
            </w:pPr>
            <w:r w:rsidRPr="001E31A5">
              <w:rPr>
                <w:rFonts w:ascii="Arial" w:hAnsi="Arial" w:cs="Arial"/>
                <w:b/>
                <w:bCs/>
                <w:sz w:val="22"/>
                <w:szCs w:val="22"/>
              </w:rPr>
              <w:t>Skupaj</w:t>
            </w:r>
          </w:p>
        </w:tc>
        <w:tc>
          <w:tcPr>
            <w:tcW w:w="1174" w:type="dxa"/>
            <w:tcBorders>
              <w:top w:val="nil"/>
              <w:left w:val="nil"/>
              <w:bottom w:val="single" w:sz="12" w:space="0" w:color="FFFFFF"/>
              <w:right w:val="single" w:sz="12" w:space="0" w:color="FFFFFF"/>
            </w:tcBorders>
            <w:shd w:val="clear" w:color="000000" w:fill="8DB3E2"/>
            <w:vAlign w:val="center"/>
            <w:hideMark/>
          </w:tcPr>
          <w:p w:rsidR="00876C60" w:rsidRPr="001E31A5" w:rsidRDefault="00876C60" w:rsidP="00A875DA">
            <w:pPr>
              <w:jc w:val="right"/>
              <w:rPr>
                <w:rFonts w:ascii="Arial" w:hAnsi="Arial" w:cs="Arial"/>
                <w:b/>
                <w:bCs/>
                <w:color w:val="000000"/>
                <w:sz w:val="22"/>
                <w:szCs w:val="22"/>
              </w:rPr>
            </w:pPr>
            <w:r w:rsidRPr="001E31A5">
              <w:rPr>
                <w:rFonts w:ascii="Arial" w:hAnsi="Arial" w:cs="Arial"/>
                <w:b/>
                <w:bCs/>
                <w:color w:val="000000"/>
                <w:sz w:val="22"/>
                <w:szCs w:val="22"/>
              </w:rPr>
              <w:t>2.964.341</w:t>
            </w:r>
          </w:p>
        </w:tc>
        <w:tc>
          <w:tcPr>
            <w:tcW w:w="1134" w:type="dxa"/>
            <w:tcBorders>
              <w:top w:val="nil"/>
              <w:left w:val="nil"/>
              <w:bottom w:val="single" w:sz="12" w:space="0" w:color="FFFFFF"/>
              <w:right w:val="single" w:sz="12" w:space="0" w:color="FFFFFF"/>
            </w:tcBorders>
            <w:shd w:val="clear" w:color="000000" w:fill="8DB3E2"/>
            <w:vAlign w:val="center"/>
            <w:hideMark/>
          </w:tcPr>
          <w:p w:rsidR="00876C60" w:rsidRPr="001E31A5" w:rsidRDefault="00876C60" w:rsidP="00A875DA">
            <w:pPr>
              <w:jc w:val="center"/>
              <w:rPr>
                <w:rFonts w:ascii="Arial" w:hAnsi="Arial" w:cs="Arial"/>
                <w:b/>
                <w:bCs/>
                <w:color w:val="000000"/>
                <w:sz w:val="22"/>
                <w:szCs w:val="22"/>
              </w:rPr>
            </w:pPr>
            <w:r w:rsidRPr="001E31A5">
              <w:rPr>
                <w:rFonts w:ascii="Arial" w:hAnsi="Arial" w:cs="Arial"/>
                <w:b/>
                <w:bCs/>
                <w:color w:val="000000"/>
                <w:sz w:val="22"/>
                <w:szCs w:val="22"/>
              </w:rPr>
              <w:t>100</w:t>
            </w:r>
          </w:p>
        </w:tc>
      </w:tr>
    </w:tbl>
    <w:p w:rsidR="00876C60" w:rsidRPr="001E31A5" w:rsidRDefault="00876C60" w:rsidP="00876C60">
      <w:pPr>
        <w:pStyle w:val="Brezrazmikov"/>
        <w:jc w:val="both"/>
        <w:rPr>
          <w:rFonts w:ascii="Arial" w:hAnsi="Arial" w:cs="Arial"/>
        </w:rPr>
      </w:pPr>
      <w:r w:rsidRPr="001E31A5">
        <w:rPr>
          <w:rFonts w:ascii="Arial" w:hAnsi="Arial" w:cs="Arial"/>
        </w:rPr>
        <w:t>Drugi prihodki vključujejo:</w:t>
      </w:r>
    </w:p>
    <w:p w:rsidR="00876C60" w:rsidRPr="001E31A5" w:rsidRDefault="00876C60" w:rsidP="00876C60">
      <w:pPr>
        <w:pStyle w:val="Brezrazmikov"/>
        <w:jc w:val="both"/>
        <w:rPr>
          <w:rFonts w:ascii="Arial" w:hAnsi="Arial" w:cs="Arial"/>
        </w:rPr>
      </w:pPr>
      <w:r w:rsidRPr="001E31A5">
        <w:rPr>
          <w:rFonts w:ascii="Arial" w:hAnsi="Arial" w:cs="Arial"/>
        </w:rPr>
        <w:t>1. prihodke za projekte (»Zdrav življenjski slog 2016/17«, »Vzpostavitev, dopolnitev in pilotni preizkus modela ugotavljanja in zagotavljanja kakovosti na področju vzgoje in izobraževanja«, »Prva zaposlitev 2017« ter »Usposabljanje na delovnem mestu – mladi 2016/17«) v višini 10.721 EUR,</w:t>
      </w:r>
    </w:p>
    <w:p w:rsidR="00876C60" w:rsidRPr="001E31A5" w:rsidRDefault="00876C60" w:rsidP="00876C60">
      <w:pPr>
        <w:pStyle w:val="Brezrazmikov"/>
        <w:jc w:val="both"/>
        <w:rPr>
          <w:rFonts w:ascii="Arial" w:hAnsi="Arial" w:cs="Arial"/>
        </w:rPr>
      </w:pPr>
      <w:r w:rsidRPr="001E31A5">
        <w:rPr>
          <w:rFonts w:ascii="Arial" w:hAnsi="Arial" w:cs="Arial"/>
        </w:rPr>
        <w:t>2. prihodke Zavoda RS za zaposlovanje za dve zaposleni javni delavki v višini 12.739 EUR,</w:t>
      </w:r>
    </w:p>
    <w:p w:rsidR="00876C60" w:rsidRPr="001E31A5" w:rsidRDefault="00876C60" w:rsidP="00876C60">
      <w:pPr>
        <w:pStyle w:val="Brezrazmikov"/>
        <w:jc w:val="both"/>
        <w:rPr>
          <w:rFonts w:ascii="Arial" w:hAnsi="Arial" w:cs="Arial"/>
        </w:rPr>
      </w:pPr>
      <w:r w:rsidRPr="001E31A5">
        <w:rPr>
          <w:rFonts w:ascii="Arial" w:hAnsi="Arial" w:cs="Arial"/>
        </w:rPr>
        <w:t>3. donacije, tako v šolski sklad kot druge donacije (podarjena strokovna literatura, nakazila sredstev v obliki finančne pomoči učencem) v višini 6.679 EUR,</w:t>
      </w:r>
    </w:p>
    <w:p w:rsidR="00876C60" w:rsidRPr="001E31A5" w:rsidRDefault="00876C60" w:rsidP="00876C60">
      <w:pPr>
        <w:pStyle w:val="Brezrazmikov"/>
        <w:jc w:val="both"/>
        <w:rPr>
          <w:rFonts w:ascii="Arial" w:hAnsi="Arial" w:cs="Arial"/>
        </w:rPr>
      </w:pPr>
      <w:r w:rsidRPr="001E31A5">
        <w:rPr>
          <w:rFonts w:ascii="Arial" w:hAnsi="Arial" w:cs="Arial"/>
        </w:rPr>
        <w:t>4. nakazila sredstev za izvedbo šolskih tekmovanj ter predstavo Ledeno kraljestvo v skupni višini 1.067 EUR,</w:t>
      </w:r>
    </w:p>
    <w:p w:rsidR="00876C60" w:rsidRPr="001E31A5" w:rsidRDefault="00876C60" w:rsidP="00876C60">
      <w:pPr>
        <w:pStyle w:val="Brezrazmikov"/>
        <w:jc w:val="both"/>
        <w:rPr>
          <w:rFonts w:ascii="Arial" w:hAnsi="Arial" w:cs="Arial"/>
        </w:rPr>
      </w:pPr>
      <w:r w:rsidRPr="001E31A5">
        <w:rPr>
          <w:rFonts w:ascii="Arial" w:hAnsi="Arial" w:cs="Arial"/>
        </w:rPr>
        <w:t>5. prihodek OŠ Otlica za izvajanje logopedske dejavnosti pri nas zaposlene logopedinje v višini 201 EUR,</w:t>
      </w:r>
    </w:p>
    <w:p w:rsidR="00876C60" w:rsidRPr="001E31A5" w:rsidRDefault="00876C60" w:rsidP="00876C60">
      <w:pPr>
        <w:pStyle w:val="Brezrazmikov"/>
        <w:jc w:val="both"/>
        <w:rPr>
          <w:rFonts w:ascii="Arial" w:hAnsi="Arial" w:cs="Arial"/>
        </w:rPr>
      </w:pPr>
      <w:r w:rsidRPr="001E31A5">
        <w:rPr>
          <w:rFonts w:ascii="Arial" w:hAnsi="Arial" w:cs="Arial"/>
        </w:rPr>
        <w:t xml:space="preserve">6. druge prihodke: odškodnine zavarovalnice (310 EUR), </w:t>
      </w:r>
      <w:proofErr w:type="spellStart"/>
      <w:r w:rsidRPr="001E31A5">
        <w:rPr>
          <w:rFonts w:ascii="Arial" w:hAnsi="Arial" w:cs="Arial"/>
        </w:rPr>
        <w:t>prevrednotovalne</w:t>
      </w:r>
      <w:proofErr w:type="spellEnd"/>
      <w:r w:rsidRPr="001E31A5">
        <w:rPr>
          <w:rFonts w:ascii="Arial" w:hAnsi="Arial" w:cs="Arial"/>
        </w:rPr>
        <w:t xml:space="preserve"> poslovne prihodke, ki so nastali zaradi spremembe odbitnega deleža (403 EUR) ter povračila vplačanih taks za sodne izvršbe (248 EUR).</w:t>
      </w:r>
    </w:p>
    <w:p w:rsidR="00876C60" w:rsidRPr="001E31A5" w:rsidRDefault="00876C60" w:rsidP="00876C60">
      <w:pPr>
        <w:pStyle w:val="Brezrazmikov"/>
        <w:jc w:val="both"/>
        <w:rPr>
          <w:rFonts w:ascii="Arial" w:hAnsi="Arial" w:cs="Arial"/>
        </w:rPr>
      </w:pPr>
    </w:p>
    <w:p w:rsidR="00876C60" w:rsidRPr="001E31A5" w:rsidRDefault="00876C60" w:rsidP="00876C60">
      <w:pPr>
        <w:pStyle w:val="Brezrazmikov"/>
        <w:numPr>
          <w:ilvl w:val="0"/>
          <w:numId w:val="4"/>
        </w:numPr>
        <w:rPr>
          <w:rFonts w:ascii="Arial" w:hAnsi="Arial" w:cs="Arial"/>
        </w:rPr>
      </w:pPr>
      <w:r w:rsidRPr="001E31A5">
        <w:rPr>
          <w:rFonts w:ascii="Arial" w:hAnsi="Arial" w:cs="Arial"/>
        </w:rPr>
        <w:t>Osnovna šola Danila Lokarja Ajdovščina je v letu 2016 imela 2.950.300 EUR odhodkov.</w:t>
      </w:r>
    </w:p>
    <w:tbl>
      <w:tblPr>
        <w:tblpPr w:leftFromText="141" w:rightFromText="141" w:vertAnchor="text" w:tblpY="1"/>
        <w:tblOverlap w:val="never"/>
        <w:tblW w:w="6961" w:type="dxa"/>
        <w:tblCellMar>
          <w:left w:w="70" w:type="dxa"/>
          <w:right w:w="70" w:type="dxa"/>
        </w:tblCellMar>
        <w:tblLook w:val="04A0" w:firstRow="1" w:lastRow="0" w:firstColumn="1" w:lastColumn="0" w:noHBand="0" w:noVBand="1"/>
      </w:tblPr>
      <w:tblGrid>
        <w:gridCol w:w="3843"/>
        <w:gridCol w:w="1537"/>
        <w:gridCol w:w="1581"/>
      </w:tblGrid>
      <w:tr w:rsidR="00876C60" w:rsidRPr="001E31A5" w:rsidTr="00A875DA">
        <w:trPr>
          <w:trHeight w:hRule="exact" w:val="600"/>
        </w:trPr>
        <w:tc>
          <w:tcPr>
            <w:tcW w:w="3843" w:type="dxa"/>
            <w:tcBorders>
              <w:top w:val="single" w:sz="12" w:space="0" w:color="FFFFFF"/>
              <w:left w:val="single" w:sz="12" w:space="0" w:color="FFFFFF"/>
              <w:bottom w:val="single" w:sz="12" w:space="0" w:color="FFFFFF"/>
              <w:right w:val="single" w:sz="12" w:space="0" w:color="FFFFFF"/>
            </w:tcBorders>
            <w:shd w:val="clear" w:color="000000" w:fill="000098"/>
            <w:vAlign w:val="center"/>
            <w:hideMark/>
          </w:tcPr>
          <w:p w:rsidR="00876C60" w:rsidRPr="001E31A5" w:rsidRDefault="00876C60" w:rsidP="00A875DA">
            <w:pPr>
              <w:jc w:val="right"/>
              <w:rPr>
                <w:rFonts w:ascii="Arial" w:hAnsi="Arial" w:cs="Arial"/>
                <w:color w:val="FFFFFF"/>
                <w:sz w:val="22"/>
                <w:szCs w:val="22"/>
              </w:rPr>
            </w:pPr>
            <w:r w:rsidRPr="001E31A5">
              <w:rPr>
                <w:rFonts w:ascii="Arial" w:hAnsi="Arial" w:cs="Arial"/>
                <w:color w:val="FFFFFF"/>
                <w:sz w:val="22"/>
                <w:szCs w:val="22"/>
              </w:rPr>
              <w:t>Vrsta stroška</w:t>
            </w:r>
          </w:p>
        </w:tc>
        <w:tc>
          <w:tcPr>
            <w:tcW w:w="1537" w:type="dxa"/>
            <w:tcBorders>
              <w:top w:val="single" w:sz="12" w:space="0" w:color="FFFFFF"/>
              <w:left w:val="nil"/>
              <w:bottom w:val="single" w:sz="12" w:space="0" w:color="FFFFFF"/>
              <w:right w:val="single" w:sz="12" w:space="0" w:color="FFFFFF"/>
            </w:tcBorders>
            <w:shd w:val="clear" w:color="000000" w:fill="000098"/>
            <w:vAlign w:val="center"/>
            <w:hideMark/>
          </w:tcPr>
          <w:p w:rsidR="00876C60" w:rsidRPr="001E31A5" w:rsidRDefault="00876C60" w:rsidP="00A875DA">
            <w:pPr>
              <w:jc w:val="center"/>
              <w:rPr>
                <w:rFonts w:ascii="Arial" w:hAnsi="Arial" w:cs="Arial"/>
                <w:color w:val="FFFFFF"/>
                <w:sz w:val="22"/>
                <w:szCs w:val="22"/>
              </w:rPr>
            </w:pPr>
            <w:r w:rsidRPr="001E31A5">
              <w:rPr>
                <w:rFonts w:ascii="Arial" w:hAnsi="Arial" w:cs="Arial"/>
                <w:color w:val="FFFFFF"/>
                <w:sz w:val="22"/>
                <w:szCs w:val="22"/>
              </w:rPr>
              <w:t>Stroški 2016 (EUR)</w:t>
            </w:r>
          </w:p>
        </w:tc>
        <w:tc>
          <w:tcPr>
            <w:tcW w:w="1581" w:type="dxa"/>
            <w:tcBorders>
              <w:top w:val="single" w:sz="12" w:space="0" w:color="FFFFFF"/>
              <w:left w:val="nil"/>
              <w:bottom w:val="single" w:sz="12" w:space="0" w:color="FFFFFF"/>
              <w:right w:val="single" w:sz="12" w:space="0" w:color="FFFFFF"/>
            </w:tcBorders>
            <w:shd w:val="clear" w:color="000000" w:fill="000098"/>
            <w:vAlign w:val="center"/>
            <w:hideMark/>
          </w:tcPr>
          <w:p w:rsidR="00876C60" w:rsidRPr="001E31A5" w:rsidRDefault="00876C60" w:rsidP="00A875DA">
            <w:pPr>
              <w:jc w:val="center"/>
              <w:rPr>
                <w:rFonts w:ascii="Arial" w:hAnsi="Arial" w:cs="Arial"/>
                <w:color w:val="FFFFFF"/>
                <w:sz w:val="22"/>
                <w:szCs w:val="22"/>
              </w:rPr>
            </w:pPr>
            <w:r w:rsidRPr="001E31A5">
              <w:rPr>
                <w:rFonts w:ascii="Arial" w:hAnsi="Arial" w:cs="Arial"/>
                <w:color w:val="FFFFFF"/>
                <w:sz w:val="22"/>
                <w:szCs w:val="22"/>
              </w:rPr>
              <w:t>Struktura 2016 (%)</w:t>
            </w:r>
          </w:p>
        </w:tc>
      </w:tr>
      <w:tr w:rsidR="00876C60" w:rsidRPr="001E31A5" w:rsidTr="00A875DA">
        <w:trPr>
          <w:trHeight w:val="327"/>
        </w:trPr>
        <w:tc>
          <w:tcPr>
            <w:tcW w:w="3843" w:type="dxa"/>
            <w:tcBorders>
              <w:top w:val="nil"/>
              <w:left w:val="single" w:sz="12" w:space="0" w:color="FFFFFF"/>
              <w:bottom w:val="single" w:sz="12" w:space="0" w:color="FFFFFF"/>
              <w:right w:val="single" w:sz="12" w:space="0" w:color="FFFFFF"/>
            </w:tcBorders>
            <w:shd w:val="clear" w:color="000000" w:fill="C6D9F1"/>
            <w:vAlign w:val="center"/>
            <w:hideMark/>
          </w:tcPr>
          <w:p w:rsidR="00876C60" w:rsidRPr="001E31A5" w:rsidRDefault="00876C60" w:rsidP="00A875DA">
            <w:pPr>
              <w:jc w:val="right"/>
              <w:rPr>
                <w:rFonts w:ascii="Arial" w:hAnsi="Arial" w:cs="Arial"/>
                <w:color w:val="000000"/>
                <w:sz w:val="22"/>
                <w:szCs w:val="22"/>
              </w:rPr>
            </w:pPr>
            <w:r w:rsidRPr="001E31A5">
              <w:rPr>
                <w:rFonts w:ascii="Arial" w:hAnsi="Arial" w:cs="Arial"/>
                <w:color w:val="000000"/>
                <w:sz w:val="22"/>
                <w:szCs w:val="22"/>
              </w:rPr>
              <w:t>Stroški materiala in storitev</w:t>
            </w:r>
          </w:p>
        </w:tc>
        <w:tc>
          <w:tcPr>
            <w:tcW w:w="1537" w:type="dxa"/>
            <w:tcBorders>
              <w:top w:val="nil"/>
              <w:left w:val="nil"/>
              <w:bottom w:val="single" w:sz="12" w:space="0" w:color="FFFFFF"/>
              <w:right w:val="single" w:sz="12" w:space="0" w:color="FFFFFF"/>
            </w:tcBorders>
            <w:shd w:val="clear" w:color="000000" w:fill="C6D9F1"/>
            <w:vAlign w:val="center"/>
            <w:hideMark/>
          </w:tcPr>
          <w:p w:rsidR="00876C60" w:rsidRPr="001E31A5" w:rsidRDefault="00876C60" w:rsidP="00A875DA">
            <w:pPr>
              <w:jc w:val="right"/>
              <w:rPr>
                <w:rFonts w:ascii="Arial" w:hAnsi="Arial" w:cs="Arial"/>
                <w:color w:val="000000"/>
                <w:sz w:val="22"/>
                <w:szCs w:val="22"/>
              </w:rPr>
            </w:pPr>
            <w:r w:rsidRPr="001E31A5">
              <w:rPr>
                <w:rFonts w:ascii="Arial" w:hAnsi="Arial" w:cs="Arial"/>
                <w:color w:val="000000"/>
                <w:sz w:val="22"/>
                <w:szCs w:val="22"/>
              </w:rPr>
              <w:t>469.726</w:t>
            </w:r>
          </w:p>
        </w:tc>
        <w:tc>
          <w:tcPr>
            <w:tcW w:w="1581" w:type="dxa"/>
            <w:tcBorders>
              <w:top w:val="nil"/>
              <w:left w:val="nil"/>
              <w:bottom w:val="single" w:sz="12" w:space="0" w:color="FFFFFF"/>
              <w:right w:val="single" w:sz="12" w:space="0" w:color="FFFFFF"/>
            </w:tcBorders>
            <w:shd w:val="clear" w:color="000000" w:fill="C6D9F1"/>
            <w:vAlign w:val="center"/>
            <w:hideMark/>
          </w:tcPr>
          <w:p w:rsidR="00876C60" w:rsidRPr="001E31A5" w:rsidRDefault="00876C60" w:rsidP="00A875DA">
            <w:pPr>
              <w:jc w:val="center"/>
              <w:rPr>
                <w:rFonts w:ascii="Arial" w:hAnsi="Arial" w:cs="Arial"/>
                <w:color w:val="000000"/>
                <w:sz w:val="22"/>
                <w:szCs w:val="22"/>
              </w:rPr>
            </w:pPr>
            <w:r w:rsidRPr="001E31A5">
              <w:rPr>
                <w:rFonts w:ascii="Arial" w:hAnsi="Arial" w:cs="Arial"/>
                <w:color w:val="000000"/>
                <w:sz w:val="22"/>
                <w:szCs w:val="22"/>
              </w:rPr>
              <w:t>15,92</w:t>
            </w:r>
          </w:p>
        </w:tc>
      </w:tr>
      <w:tr w:rsidR="00876C60" w:rsidRPr="001E31A5" w:rsidTr="00A875DA">
        <w:trPr>
          <w:trHeight w:val="330"/>
        </w:trPr>
        <w:tc>
          <w:tcPr>
            <w:tcW w:w="3843" w:type="dxa"/>
            <w:tcBorders>
              <w:top w:val="nil"/>
              <w:left w:val="single" w:sz="12" w:space="0" w:color="FFFFFF"/>
              <w:bottom w:val="single" w:sz="12" w:space="0" w:color="FFFFFF"/>
              <w:right w:val="single" w:sz="12" w:space="0" w:color="FFFFFF"/>
            </w:tcBorders>
            <w:shd w:val="clear" w:color="000000" w:fill="C6D9F1"/>
            <w:vAlign w:val="center"/>
            <w:hideMark/>
          </w:tcPr>
          <w:p w:rsidR="00876C60" w:rsidRPr="001E31A5" w:rsidRDefault="00876C60" w:rsidP="00A875DA">
            <w:pPr>
              <w:jc w:val="right"/>
              <w:rPr>
                <w:rFonts w:ascii="Arial" w:hAnsi="Arial" w:cs="Arial"/>
                <w:color w:val="000000"/>
                <w:sz w:val="22"/>
                <w:szCs w:val="22"/>
              </w:rPr>
            </w:pPr>
            <w:r w:rsidRPr="001E31A5">
              <w:rPr>
                <w:rFonts w:ascii="Arial" w:hAnsi="Arial" w:cs="Arial"/>
                <w:color w:val="000000"/>
                <w:sz w:val="22"/>
                <w:szCs w:val="22"/>
              </w:rPr>
              <w:t>Stroški dela</w:t>
            </w:r>
          </w:p>
        </w:tc>
        <w:tc>
          <w:tcPr>
            <w:tcW w:w="1537" w:type="dxa"/>
            <w:tcBorders>
              <w:top w:val="nil"/>
              <w:left w:val="nil"/>
              <w:bottom w:val="single" w:sz="12" w:space="0" w:color="FFFFFF"/>
              <w:right w:val="single" w:sz="12" w:space="0" w:color="FFFFFF"/>
            </w:tcBorders>
            <w:shd w:val="clear" w:color="000000" w:fill="C6D9F1"/>
            <w:vAlign w:val="center"/>
            <w:hideMark/>
          </w:tcPr>
          <w:p w:rsidR="00876C60" w:rsidRPr="001E31A5" w:rsidRDefault="00876C60" w:rsidP="00A875DA">
            <w:pPr>
              <w:jc w:val="right"/>
              <w:rPr>
                <w:rFonts w:ascii="Arial" w:hAnsi="Arial" w:cs="Arial"/>
                <w:color w:val="000000"/>
                <w:sz w:val="22"/>
                <w:szCs w:val="22"/>
              </w:rPr>
            </w:pPr>
            <w:r w:rsidRPr="001E31A5">
              <w:rPr>
                <w:rFonts w:ascii="Arial" w:hAnsi="Arial" w:cs="Arial"/>
                <w:color w:val="000000"/>
                <w:sz w:val="22"/>
                <w:szCs w:val="22"/>
              </w:rPr>
              <w:t>2.137.781</w:t>
            </w:r>
          </w:p>
        </w:tc>
        <w:tc>
          <w:tcPr>
            <w:tcW w:w="1581" w:type="dxa"/>
            <w:tcBorders>
              <w:top w:val="nil"/>
              <w:left w:val="nil"/>
              <w:bottom w:val="single" w:sz="12" w:space="0" w:color="FFFFFF"/>
              <w:right w:val="single" w:sz="12" w:space="0" w:color="FFFFFF"/>
            </w:tcBorders>
            <w:shd w:val="clear" w:color="000000" w:fill="C6D9F1"/>
            <w:vAlign w:val="center"/>
            <w:hideMark/>
          </w:tcPr>
          <w:p w:rsidR="00876C60" w:rsidRPr="001E31A5" w:rsidRDefault="00876C60" w:rsidP="00A875DA">
            <w:pPr>
              <w:jc w:val="center"/>
              <w:rPr>
                <w:rFonts w:ascii="Arial" w:hAnsi="Arial" w:cs="Arial"/>
                <w:color w:val="000000"/>
                <w:sz w:val="22"/>
                <w:szCs w:val="22"/>
              </w:rPr>
            </w:pPr>
            <w:r w:rsidRPr="001E31A5">
              <w:rPr>
                <w:rFonts w:ascii="Arial" w:hAnsi="Arial" w:cs="Arial"/>
                <w:color w:val="000000"/>
                <w:sz w:val="22"/>
                <w:szCs w:val="22"/>
              </w:rPr>
              <w:t>72,46</w:t>
            </w:r>
          </w:p>
        </w:tc>
      </w:tr>
      <w:tr w:rsidR="00876C60" w:rsidRPr="001E31A5" w:rsidTr="00A875DA">
        <w:trPr>
          <w:trHeight w:val="330"/>
        </w:trPr>
        <w:tc>
          <w:tcPr>
            <w:tcW w:w="3843" w:type="dxa"/>
            <w:tcBorders>
              <w:top w:val="nil"/>
              <w:left w:val="single" w:sz="12" w:space="0" w:color="FFFFFF"/>
              <w:bottom w:val="single" w:sz="12" w:space="0" w:color="FFFFFF"/>
              <w:right w:val="single" w:sz="12" w:space="0" w:color="FFFFFF"/>
            </w:tcBorders>
            <w:shd w:val="clear" w:color="000000" w:fill="C6D9F1"/>
            <w:vAlign w:val="center"/>
            <w:hideMark/>
          </w:tcPr>
          <w:p w:rsidR="00876C60" w:rsidRPr="001E31A5" w:rsidRDefault="00876C60" w:rsidP="00A875DA">
            <w:pPr>
              <w:jc w:val="right"/>
              <w:rPr>
                <w:rFonts w:ascii="Arial" w:hAnsi="Arial" w:cs="Arial"/>
                <w:color w:val="000000"/>
                <w:sz w:val="22"/>
                <w:szCs w:val="22"/>
              </w:rPr>
            </w:pPr>
            <w:r w:rsidRPr="001E31A5">
              <w:rPr>
                <w:rFonts w:ascii="Arial" w:hAnsi="Arial" w:cs="Arial"/>
                <w:color w:val="000000"/>
                <w:sz w:val="22"/>
                <w:szCs w:val="22"/>
              </w:rPr>
              <w:t>Amortizacija</w:t>
            </w:r>
          </w:p>
        </w:tc>
        <w:tc>
          <w:tcPr>
            <w:tcW w:w="1537" w:type="dxa"/>
            <w:tcBorders>
              <w:top w:val="nil"/>
              <w:left w:val="nil"/>
              <w:bottom w:val="single" w:sz="12" w:space="0" w:color="FFFFFF"/>
              <w:right w:val="single" w:sz="12" w:space="0" w:color="FFFFFF"/>
            </w:tcBorders>
            <w:shd w:val="clear" w:color="000000" w:fill="C6D9F1"/>
            <w:vAlign w:val="center"/>
            <w:hideMark/>
          </w:tcPr>
          <w:p w:rsidR="00876C60" w:rsidRPr="001E31A5" w:rsidRDefault="00876C60" w:rsidP="00A875DA">
            <w:pPr>
              <w:jc w:val="right"/>
              <w:rPr>
                <w:rFonts w:ascii="Arial" w:hAnsi="Arial" w:cs="Arial"/>
                <w:color w:val="000000"/>
                <w:sz w:val="22"/>
                <w:szCs w:val="22"/>
              </w:rPr>
            </w:pPr>
            <w:r w:rsidRPr="001E31A5">
              <w:rPr>
                <w:rFonts w:ascii="Arial" w:hAnsi="Arial" w:cs="Arial"/>
                <w:color w:val="000000"/>
                <w:sz w:val="22"/>
                <w:szCs w:val="22"/>
              </w:rPr>
              <w:t>322.841</w:t>
            </w:r>
          </w:p>
        </w:tc>
        <w:tc>
          <w:tcPr>
            <w:tcW w:w="1581" w:type="dxa"/>
            <w:tcBorders>
              <w:top w:val="nil"/>
              <w:left w:val="nil"/>
              <w:bottom w:val="single" w:sz="12" w:space="0" w:color="FFFFFF"/>
              <w:right w:val="single" w:sz="12" w:space="0" w:color="FFFFFF"/>
            </w:tcBorders>
            <w:shd w:val="clear" w:color="000000" w:fill="C6D9F1"/>
            <w:vAlign w:val="center"/>
            <w:hideMark/>
          </w:tcPr>
          <w:p w:rsidR="00876C60" w:rsidRPr="001E31A5" w:rsidRDefault="00876C60" w:rsidP="00A875DA">
            <w:pPr>
              <w:jc w:val="center"/>
              <w:rPr>
                <w:rFonts w:ascii="Arial" w:hAnsi="Arial" w:cs="Arial"/>
                <w:color w:val="000000"/>
                <w:sz w:val="22"/>
                <w:szCs w:val="22"/>
              </w:rPr>
            </w:pPr>
            <w:r w:rsidRPr="001E31A5">
              <w:rPr>
                <w:rFonts w:ascii="Arial" w:hAnsi="Arial" w:cs="Arial"/>
                <w:color w:val="000000"/>
                <w:sz w:val="22"/>
                <w:szCs w:val="22"/>
              </w:rPr>
              <w:t>10,94</w:t>
            </w:r>
          </w:p>
        </w:tc>
      </w:tr>
      <w:tr w:rsidR="00876C60" w:rsidRPr="001E31A5" w:rsidTr="00A875DA">
        <w:trPr>
          <w:trHeight w:val="330"/>
        </w:trPr>
        <w:tc>
          <w:tcPr>
            <w:tcW w:w="3843" w:type="dxa"/>
            <w:tcBorders>
              <w:top w:val="nil"/>
              <w:left w:val="single" w:sz="12" w:space="0" w:color="FFFFFF"/>
              <w:bottom w:val="single" w:sz="12" w:space="0" w:color="FFFFFF"/>
              <w:right w:val="single" w:sz="12" w:space="0" w:color="FFFFFF"/>
            </w:tcBorders>
            <w:shd w:val="clear" w:color="000000" w:fill="C6D9F1"/>
            <w:vAlign w:val="center"/>
            <w:hideMark/>
          </w:tcPr>
          <w:p w:rsidR="00876C60" w:rsidRPr="001E31A5" w:rsidRDefault="00876C60" w:rsidP="00A875DA">
            <w:pPr>
              <w:jc w:val="right"/>
              <w:rPr>
                <w:rFonts w:ascii="Arial" w:hAnsi="Arial" w:cs="Arial"/>
                <w:color w:val="000000"/>
                <w:sz w:val="22"/>
                <w:szCs w:val="22"/>
              </w:rPr>
            </w:pPr>
            <w:r w:rsidRPr="001E31A5">
              <w:rPr>
                <w:rFonts w:ascii="Arial" w:hAnsi="Arial" w:cs="Arial"/>
                <w:color w:val="000000"/>
                <w:sz w:val="22"/>
                <w:szCs w:val="22"/>
              </w:rPr>
              <w:t>Drugi stroški</w:t>
            </w:r>
          </w:p>
        </w:tc>
        <w:tc>
          <w:tcPr>
            <w:tcW w:w="1537" w:type="dxa"/>
            <w:tcBorders>
              <w:top w:val="nil"/>
              <w:left w:val="nil"/>
              <w:bottom w:val="single" w:sz="12" w:space="0" w:color="FFFFFF"/>
              <w:right w:val="single" w:sz="12" w:space="0" w:color="FFFFFF"/>
            </w:tcBorders>
            <w:shd w:val="clear" w:color="000000" w:fill="C6D9F1"/>
            <w:vAlign w:val="center"/>
            <w:hideMark/>
          </w:tcPr>
          <w:p w:rsidR="00876C60" w:rsidRPr="001E31A5" w:rsidRDefault="00876C60" w:rsidP="00A875DA">
            <w:pPr>
              <w:jc w:val="right"/>
              <w:rPr>
                <w:rFonts w:ascii="Arial" w:hAnsi="Arial" w:cs="Arial"/>
                <w:color w:val="000000"/>
                <w:sz w:val="22"/>
                <w:szCs w:val="22"/>
              </w:rPr>
            </w:pPr>
            <w:r w:rsidRPr="001E31A5">
              <w:rPr>
                <w:rFonts w:ascii="Arial" w:hAnsi="Arial" w:cs="Arial"/>
                <w:color w:val="000000"/>
                <w:sz w:val="22"/>
                <w:szCs w:val="22"/>
              </w:rPr>
              <w:t>20.401</w:t>
            </w:r>
          </w:p>
        </w:tc>
        <w:tc>
          <w:tcPr>
            <w:tcW w:w="1581" w:type="dxa"/>
            <w:tcBorders>
              <w:top w:val="nil"/>
              <w:left w:val="nil"/>
              <w:bottom w:val="single" w:sz="12" w:space="0" w:color="FFFFFF"/>
              <w:right w:val="single" w:sz="12" w:space="0" w:color="FFFFFF"/>
            </w:tcBorders>
            <w:shd w:val="clear" w:color="000000" w:fill="C6D9F1"/>
            <w:vAlign w:val="center"/>
            <w:hideMark/>
          </w:tcPr>
          <w:p w:rsidR="00876C60" w:rsidRPr="001E31A5" w:rsidRDefault="00876C60" w:rsidP="00A875DA">
            <w:pPr>
              <w:jc w:val="center"/>
              <w:rPr>
                <w:rFonts w:ascii="Arial" w:hAnsi="Arial" w:cs="Arial"/>
                <w:color w:val="000000"/>
                <w:sz w:val="22"/>
                <w:szCs w:val="22"/>
              </w:rPr>
            </w:pPr>
            <w:r w:rsidRPr="001E31A5">
              <w:rPr>
                <w:rFonts w:ascii="Arial" w:hAnsi="Arial" w:cs="Arial"/>
                <w:color w:val="000000"/>
                <w:sz w:val="22"/>
                <w:szCs w:val="22"/>
              </w:rPr>
              <w:t>0,69</w:t>
            </w:r>
          </w:p>
        </w:tc>
      </w:tr>
      <w:tr w:rsidR="00876C60" w:rsidRPr="001E31A5" w:rsidTr="00A875DA">
        <w:trPr>
          <w:trHeight w:val="335"/>
        </w:trPr>
        <w:tc>
          <w:tcPr>
            <w:tcW w:w="3843" w:type="dxa"/>
            <w:tcBorders>
              <w:top w:val="nil"/>
              <w:left w:val="single" w:sz="12" w:space="0" w:color="FFFFFF"/>
              <w:bottom w:val="single" w:sz="12" w:space="0" w:color="FFFFFF"/>
              <w:right w:val="single" w:sz="12" w:space="0" w:color="FFFFFF"/>
            </w:tcBorders>
            <w:shd w:val="clear" w:color="000000" w:fill="C6D9F1"/>
            <w:vAlign w:val="center"/>
            <w:hideMark/>
          </w:tcPr>
          <w:p w:rsidR="00876C60" w:rsidRPr="001E31A5" w:rsidRDefault="00876C60" w:rsidP="00A875DA">
            <w:pPr>
              <w:jc w:val="right"/>
              <w:rPr>
                <w:rFonts w:ascii="Arial" w:hAnsi="Arial" w:cs="Arial"/>
                <w:color w:val="000000"/>
                <w:sz w:val="22"/>
                <w:szCs w:val="22"/>
              </w:rPr>
            </w:pPr>
            <w:r w:rsidRPr="001E31A5">
              <w:rPr>
                <w:rFonts w:ascii="Arial" w:hAnsi="Arial" w:cs="Arial"/>
                <w:color w:val="000000"/>
                <w:sz w:val="22"/>
                <w:szCs w:val="22"/>
              </w:rPr>
              <w:t>Prenos odhodkov v zalogo dokončanih proiz.</w:t>
            </w:r>
          </w:p>
        </w:tc>
        <w:tc>
          <w:tcPr>
            <w:tcW w:w="1537" w:type="dxa"/>
            <w:tcBorders>
              <w:top w:val="nil"/>
              <w:left w:val="nil"/>
              <w:bottom w:val="single" w:sz="12" w:space="0" w:color="FFFFFF"/>
              <w:right w:val="single" w:sz="12" w:space="0" w:color="FFFFFF"/>
            </w:tcBorders>
            <w:shd w:val="clear" w:color="000000" w:fill="C6D9F1"/>
            <w:vAlign w:val="center"/>
            <w:hideMark/>
          </w:tcPr>
          <w:p w:rsidR="00876C60" w:rsidRPr="001E31A5" w:rsidRDefault="00876C60" w:rsidP="00A875DA">
            <w:pPr>
              <w:jc w:val="right"/>
              <w:rPr>
                <w:rFonts w:ascii="Arial" w:hAnsi="Arial" w:cs="Arial"/>
                <w:color w:val="000000"/>
                <w:sz w:val="22"/>
                <w:szCs w:val="22"/>
              </w:rPr>
            </w:pPr>
            <w:r w:rsidRPr="001E31A5">
              <w:rPr>
                <w:rFonts w:ascii="Arial" w:hAnsi="Arial" w:cs="Arial"/>
                <w:color w:val="000000"/>
                <w:sz w:val="22"/>
                <w:szCs w:val="22"/>
              </w:rPr>
              <w:t>-620</w:t>
            </w:r>
          </w:p>
        </w:tc>
        <w:tc>
          <w:tcPr>
            <w:tcW w:w="1581" w:type="dxa"/>
            <w:tcBorders>
              <w:top w:val="nil"/>
              <w:left w:val="nil"/>
              <w:bottom w:val="single" w:sz="12" w:space="0" w:color="FFFFFF"/>
              <w:right w:val="single" w:sz="12" w:space="0" w:color="FFFFFF"/>
            </w:tcBorders>
            <w:shd w:val="clear" w:color="000000" w:fill="C6D9F1"/>
            <w:vAlign w:val="center"/>
            <w:hideMark/>
          </w:tcPr>
          <w:p w:rsidR="00876C60" w:rsidRPr="001E31A5" w:rsidRDefault="00876C60" w:rsidP="00A875DA">
            <w:pPr>
              <w:jc w:val="center"/>
              <w:rPr>
                <w:rFonts w:ascii="Arial" w:hAnsi="Arial" w:cs="Arial"/>
                <w:color w:val="000000"/>
                <w:sz w:val="22"/>
                <w:szCs w:val="22"/>
              </w:rPr>
            </w:pPr>
            <w:r w:rsidRPr="001E31A5">
              <w:rPr>
                <w:rFonts w:ascii="Arial" w:hAnsi="Arial" w:cs="Arial"/>
                <w:color w:val="000000"/>
                <w:sz w:val="22"/>
                <w:szCs w:val="22"/>
              </w:rPr>
              <w:t>-0,02</w:t>
            </w:r>
          </w:p>
        </w:tc>
      </w:tr>
      <w:tr w:rsidR="00876C60" w:rsidRPr="001E31A5" w:rsidTr="00A875DA">
        <w:trPr>
          <w:trHeight w:val="270"/>
        </w:trPr>
        <w:tc>
          <w:tcPr>
            <w:tcW w:w="3843" w:type="dxa"/>
            <w:tcBorders>
              <w:top w:val="nil"/>
              <w:left w:val="single" w:sz="12" w:space="0" w:color="FFFFFF"/>
              <w:bottom w:val="single" w:sz="12" w:space="0" w:color="FFFFFF"/>
              <w:right w:val="single" w:sz="12" w:space="0" w:color="FFFFFF"/>
            </w:tcBorders>
            <w:shd w:val="clear" w:color="000000" w:fill="C6D9F1"/>
            <w:vAlign w:val="center"/>
            <w:hideMark/>
          </w:tcPr>
          <w:p w:rsidR="00876C60" w:rsidRPr="001E31A5" w:rsidRDefault="00876C60" w:rsidP="00A875DA">
            <w:pPr>
              <w:jc w:val="right"/>
              <w:rPr>
                <w:rFonts w:ascii="Arial" w:hAnsi="Arial" w:cs="Arial"/>
                <w:color w:val="000000"/>
                <w:sz w:val="22"/>
                <w:szCs w:val="22"/>
              </w:rPr>
            </w:pPr>
            <w:r w:rsidRPr="001E31A5">
              <w:rPr>
                <w:rFonts w:ascii="Arial" w:hAnsi="Arial" w:cs="Arial"/>
                <w:color w:val="000000"/>
                <w:sz w:val="22"/>
                <w:szCs w:val="22"/>
              </w:rPr>
              <w:t>Stroški prodanih proizvodov</w:t>
            </w:r>
          </w:p>
        </w:tc>
        <w:tc>
          <w:tcPr>
            <w:tcW w:w="1537" w:type="dxa"/>
            <w:tcBorders>
              <w:top w:val="nil"/>
              <w:left w:val="nil"/>
              <w:bottom w:val="single" w:sz="12" w:space="0" w:color="FFFFFF"/>
              <w:right w:val="single" w:sz="12" w:space="0" w:color="FFFFFF"/>
            </w:tcBorders>
            <w:shd w:val="clear" w:color="000000" w:fill="C6D9F1"/>
            <w:vAlign w:val="center"/>
            <w:hideMark/>
          </w:tcPr>
          <w:p w:rsidR="00876C60" w:rsidRPr="001E31A5" w:rsidRDefault="00876C60" w:rsidP="00A875DA">
            <w:pPr>
              <w:jc w:val="right"/>
              <w:rPr>
                <w:rFonts w:ascii="Arial" w:hAnsi="Arial" w:cs="Arial"/>
                <w:color w:val="000000"/>
                <w:sz w:val="22"/>
                <w:szCs w:val="22"/>
              </w:rPr>
            </w:pPr>
            <w:r w:rsidRPr="001E31A5">
              <w:rPr>
                <w:rFonts w:ascii="Arial" w:hAnsi="Arial" w:cs="Arial"/>
                <w:color w:val="000000"/>
                <w:sz w:val="22"/>
                <w:szCs w:val="22"/>
              </w:rPr>
              <w:t>171</w:t>
            </w:r>
          </w:p>
        </w:tc>
        <w:tc>
          <w:tcPr>
            <w:tcW w:w="1581" w:type="dxa"/>
            <w:tcBorders>
              <w:top w:val="nil"/>
              <w:left w:val="nil"/>
              <w:bottom w:val="single" w:sz="12" w:space="0" w:color="FFFFFF"/>
              <w:right w:val="single" w:sz="12" w:space="0" w:color="FFFFFF"/>
            </w:tcBorders>
            <w:shd w:val="clear" w:color="000000" w:fill="C6D9F1"/>
            <w:vAlign w:val="center"/>
            <w:hideMark/>
          </w:tcPr>
          <w:p w:rsidR="00876C60" w:rsidRPr="001E31A5" w:rsidRDefault="00876C60" w:rsidP="00A875DA">
            <w:pPr>
              <w:jc w:val="center"/>
              <w:rPr>
                <w:rFonts w:ascii="Arial" w:hAnsi="Arial" w:cs="Arial"/>
                <w:color w:val="000000"/>
                <w:sz w:val="22"/>
                <w:szCs w:val="22"/>
              </w:rPr>
            </w:pPr>
            <w:r w:rsidRPr="001E31A5">
              <w:rPr>
                <w:rFonts w:ascii="Arial" w:hAnsi="Arial" w:cs="Arial"/>
                <w:color w:val="000000"/>
                <w:sz w:val="22"/>
                <w:szCs w:val="22"/>
              </w:rPr>
              <w:t>0,01</w:t>
            </w:r>
          </w:p>
        </w:tc>
      </w:tr>
      <w:tr w:rsidR="00876C60" w:rsidRPr="001E31A5" w:rsidTr="00A875DA">
        <w:trPr>
          <w:trHeight w:val="330"/>
        </w:trPr>
        <w:tc>
          <w:tcPr>
            <w:tcW w:w="3843" w:type="dxa"/>
            <w:tcBorders>
              <w:top w:val="nil"/>
              <w:left w:val="single" w:sz="12" w:space="0" w:color="FFFFFF"/>
              <w:bottom w:val="single" w:sz="12" w:space="0" w:color="FFFFFF"/>
              <w:right w:val="single" w:sz="12" w:space="0" w:color="FFFFFF"/>
            </w:tcBorders>
            <w:shd w:val="clear" w:color="000000" w:fill="8DB3E2"/>
            <w:vAlign w:val="center"/>
            <w:hideMark/>
          </w:tcPr>
          <w:p w:rsidR="00876C60" w:rsidRPr="001E31A5" w:rsidRDefault="00876C60" w:rsidP="00A875DA">
            <w:pPr>
              <w:jc w:val="right"/>
              <w:rPr>
                <w:rFonts w:ascii="Arial" w:hAnsi="Arial" w:cs="Arial"/>
                <w:b/>
                <w:bCs/>
                <w:color w:val="000000"/>
                <w:sz w:val="22"/>
                <w:szCs w:val="22"/>
              </w:rPr>
            </w:pPr>
            <w:r w:rsidRPr="001E31A5">
              <w:rPr>
                <w:rFonts w:ascii="Arial" w:hAnsi="Arial" w:cs="Arial"/>
                <w:b/>
                <w:bCs/>
                <w:color w:val="000000"/>
                <w:sz w:val="22"/>
                <w:szCs w:val="22"/>
              </w:rPr>
              <w:t>Skupaj</w:t>
            </w:r>
          </w:p>
        </w:tc>
        <w:tc>
          <w:tcPr>
            <w:tcW w:w="1537" w:type="dxa"/>
            <w:tcBorders>
              <w:top w:val="nil"/>
              <w:left w:val="nil"/>
              <w:bottom w:val="single" w:sz="12" w:space="0" w:color="FFFFFF"/>
              <w:right w:val="single" w:sz="12" w:space="0" w:color="FFFFFF"/>
            </w:tcBorders>
            <w:shd w:val="clear" w:color="000000" w:fill="8DB3E2"/>
            <w:vAlign w:val="center"/>
            <w:hideMark/>
          </w:tcPr>
          <w:p w:rsidR="00876C60" w:rsidRPr="001E31A5" w:rsidRDefault="00876C60" w:rsidP="00A875DA">
            <w:pPr>
              <w:jc w:val="right"/>
              <w:rPr>
                <w:rFonts w:ascii="Arial" w:hAnsi="Arial" w:cs="Arial"/>
                <w:b/>
                <w:bCs/>
                <w:color w:val="000000"/>
                <w:sz w:val="22"/>
                <w:szCs w:val="22"/>
              </w:rPr>
            </w:pPr>
            <w:r w:rsidRPr="001E31A5">
              <w:rPr>
                <w:rFonts w:ascii="Arial" w:hAnsi="Arial" w:cs="Arial"/>
                <w:b/>
                <w:bCs/>
                <w:color w:val="000000"/>
                <w:sz w:val="22"/>
                <w:szCs w:val="22"/>
              </w:rPr>
              <w:t>2.950.300</w:t>
            </w:r>
          </w:p>
        </w:tc>
        <w:tc>
          <w:tcPr>
            <w:tcW w:w="1581" w:type="dxa"/>
            <w:tcBorders>
              <w:top w:val="nil"/>
              <w:left w:val="nil"/>
              <w:bottom w:val="single" w:sz="12" w:space="0" w:color="FFFFFF"/>
              <w:right w:val="single" w:sz="12" w:space="0" w:color="FFFFFF"/>
            </w:tcBorders>
            <w:shd w:val="clear" w:color="000000" w:fill="8DB3E2"/>
            <w:vAlign w:val="center"/>
            <w:hideMark/>
          </w:tcPr>
          <w:p w:rsidR="00876C60" w:rsidRPr="001E31A5" w:rsidRDefault="00876C60" w:rsidP="00A875DA">
            <w:pPr>
              <w:jc w:val="center"/>
              <w:rPr>
                <w:rFonts w:ascii="Arial" w:hAnsi="Arial" w:cs="Arial"/>
                <w:b/>
                <w:bCs/>
                <w:color w:val="000000"/>
                <w:sz w:val="22"/>
                <w:szCs w:val="22"/>
              </w:rPr>
            </w:pPr>
            <w:r w:rsidRPr="001E31A5">
              <w:rPr>
                <w:rFonts w:ascii="Arial" w:hAnsi="Arial" w:cs="Arial"/>
                <w:b/>
                <w:bCs/>
                <w:color w:val="000000"/>
                <w:sz w:val="22"/>
                <w:szCs w:val="22"/>
              </w:rPr>
              <w:t>100,00</w:t>
            </w:r>
          </w:p>
        </w:tc>
      </w:tr>
    </w:tbl>
    <w:p w:rsidR="00876C60" w:rsidRPr="001E31A5" w:rsidRDefault="00876C60" w:rsidP="00876C60">
      <w:pPr>
        <w:pStyle w:val="Brezrazmikov"/>
        <w:jc w:val="both"/>
        <w:rPr>
          <w:rFonts w:ascii="Arial" w:hAnsi="Arial" w:cs="Arial"/>
        </w:rPr>
      </w:pPr>
      <w:r w:rsidRPr="001E31A5">
        <w:rPr>
          <w:rFonts w:ascii="Arial" w:hAnsi="Arial" w:cs="Arial"/>
        </w:rPr>
        <w:t xml:space="preserve"> Drugi stroški zajemajo prispevke zaradi zaposlovanja invalidov pod kvoto, nadomestilo za uporabo stavbnega zemljišča, takse in pristojbine ter finančne odhodke za zamudne obresti. </w:t>
      </w:r>
    </w:p>
    <w:p w:rsidR="00876C60" w:rsidRPr="001E31A5" w:rsidRDefault="00876C60" w:rsidP="00876C60">
      <w:pPr>
        <w:pStyle w:val="Brezrazmikov"/>
        <w:jc w:val="both"/>
        <w:rPr>
          <w:rFonts w:ascii="Arial" w:hAnsi="Arial" w:cs="Arial"/>
        </w:rPr>
      </w:pPr>
    </w:p>
    <w:p w:rsidR="00876C60" w:rsidRPr="001E31A5" w:rsidRDefault="00876C60" w:rsidP="00876C60">
      <w:pPr>
        <w:pStyle w:val="Brezrazmikov"/>
        <w:jc w:val="both"/>
        <w:rPr>
          <w:rFonts w:ascii="Arial" w:hAnsi="Arial" w:cs="Arial"/>
        </w:rPr>
      </w:pPr>
      <w:r w:rsidRPr="001E31A5">
        <w:rPr>
          <w:rFonts w:ascii="Arial" w:hAnsi="Arial" w:cs="Arial"/>
        </w:rPr>
        <w:t xml:space="preserve">Leto 2016 smo zaključili s 13.728 EUR presežka prihodkov nad odhodki, po odbitku davka od dohodkov pravnih oseb. Vzrok je v varčevanju pri materialnih stroških, saj zaradi selitve v novo šolo in spremenjenega načina ogrevanja in hlajenja prostorov nismo vedeli, kako se bodo gibali stroški energentov. Nastali presežek nameravamo porabiti za ureditev vstopanja in izstopanja učenca invalida v šolski kombi, nabavo opreme za vzpostavitev </w:t>
      </w:r>
      <w:proofErr w:type="spellStart"/>
      <w:r w:rsidRPr="001E31A5">
        <w:rPr>
          <w:rFonts w:ascii="Arial" w:hAnsi="Arial" w:cs="Arial"/>
        </w:rPr>
        <w:t>wi</w:t>
      </w:r>
      <w:proofErr w:type="spellEnd"/>
      <w:r w:rsidRPr="001E31A5">
        <w:rPr>
          <w:rFonts w:ascii="Arial" w:hAnsi="Arial" w:cs="Arial"/>
        </w:rPr>
        <w:t>-fi omrežja na šoli ter nabavo računalniške opreme po razpisih Ministrstva za izobraževanje, znanost in šport .</w:t>
      </w:r>
    </w:p>
    <w:p w:rsidR="00876C60" w:rsidRPr="001E31A5" w:rsidRDefault="00876C60" w:rsidP="00876C60">
      <w:pPr>
        <w:pStyle w:val="Brezrazmikov"/>
        <w:numPr>
          <w:ilvl w:val="0"/>
          <w:numId w:val="4"/>
        </w:numPr>
        <w:jc w:val="both"/>
        <w:rPr>
          <w:rFonts w:ascii="Arial" w:hAnsi="Arial" w:cs="Arial"/>
        </w:rPr>
      </w:pPr>
      <w:r w:rsidRPr="001E31A5">
        <w:rPr>
          <w:rFonts w:ascii="Arial" w:hAnsi="Arial" w:cs="Arial"/>
        </w:rPr>
        <w:t xml:space="preserve">Delež tržne dejavnosti predstavlja 1,23 % dejavnosti zavoda. </w:t>
      </w:r>
    </w:p>
    <w:p w:rsidR="00876C60" w:rsidRPr="001E31A5" w:rsidRDefault="00876C60" w:rsidP="00876C60">
      <w:pPr>
        <w:pStyle w:val="Brezrazmikov"/>
        <w:numPr>
          <w:ilvl w:val="0"/>
          <w:numId w:val="4"/>
        </w:numPr>
        <w:jc w:val="both"/>
        <w:rPr>
          <w:rFonts w:ascii="Arial" w:hAnsi="Arial" w:cs="Arial"/>
        </w:rPr>
      </w:pPr>
      <w:r w:rsidRPr="001E31A5">
        <w:rPr>
          <w:rFonts w:ascii="Arial" w:hAnsi="Arial" w:cs="Arial"/>
        </w:rPr>
        <w:t xml:space="preserve">Na dan 31. 12. 2016 je bilo na šoli 89 zaposlenih. </w:t>
      </w:r>
    </w:p>
    <w:p w:rsidR="00876C60" w:rsidRPr="001E31A5" w:rsidRDefault="00876C60" w:rsidP="00876C60">
      <w:pPr>
        <w:pStyle w:val="Brezrazmikov"/>
        <w:numPr>
          <w:ilvl w:val="0"/>
          <w:numId w:val="4"/>
        </w:numPr>
        <w:ind w:left="0" w:firstLine="360"/>
        <w:jc w:val="both"/>
        <w:rPr>
          <w:rFonts w:ascii="Arial" w:hAnsi="Arial" w:cs="Arial"/>
        </w:rPr>
      </w:pPr>
      <w:r w:rsidRPr="001E31A5">
        <w:rPr>
          <w:rFonts w:ascii="Arial" w:hAnsi="Arial" w:cs="Arial"/>
        </w:rPr>
        <w:t>Zadnja notranja revizija, ki je revidirala celotno poslovanje v letu 2014, je bila izvedena maja 2015. Ugotovitve revizije za leti 2015 in 2016 še čakamo, saj je le-ta trenutno še v teku in zaključnega poročila še nimamo.</w:t>
      </w:r>
    </w:p>
    <w:p w:rsidR="00876C60" w:rsidRPr="001E31A5" w:rsidRDefault="00876C60" w:rsidP="00876C60">
      <w:pPr>
        <w:pStyle w:val="Brezrazmikov"/>
        <w:numPr>
          <w:ilvl w:val="0"/>
          <w:numId w:val="4"/>
        </w:numPr>
        <w:jc w:val="both"/>
        <w:rPr>
          <w:rFonts w:ascii="Arial" w:hAnsi="Arial" w:cs="Arial"/>
        </w:rPr>
      </w:pPr>
      <w:r w:rsidRPr="001E31A5">
        <w:rPr>
          <w:rFonts w:ascii="Arial" w:hAnsi="Arial" w:cs="Arial"/>
        </w:rPr>
        <w:t xml:space="preserve">V letu 2016 smo se selili v novo šolo, zato drugih večjih investicijskih vlaganj ni bilo. </w:t>
      </w:r>
    </w:p>
    <w:p w:rsidR="00876C60" w:rsidRPr="001E31A5" w:rsidRDefault="00876C60" w:rsidP="00876C60">
      <w:pPr>
        <w:pStyle w:val="Brezrazmikov"/>
        <w:jc w:val="both"/>
        <w:rPr>
          <w:rFonts w:ascii="Arial" w:hAnsi="Arial" w:cs="Arial"/>
        </w:rPr>
      </w:pPr>
    </w:p>
    <w:p w:rsidR="00876C60" w:rsidRPr="001E31A5" w:rsidRDefault="00EE128F" w:rsidP="00EE128F">
      <w:pPr>
        <w:pStyle w:val="Brezrazmikov"/>
        <w:jc w:val="both"/>
        <w:rPr>
          <w:rFonts w:ascii="Arial" w:hAnsi="Arial" w:cs="Arial"/>
        </w:rPr>
      </w:pPr>
      <w:r>
        <w:rPr>
          <w:rFonts w:ascii="Arial" w:hAnsi="Arial" w:cs="Arial"/>
        </w:rPr>
        <w:t>Datum:  3. 3. 2017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76C60" w:rsidRPr="001E31A5">
        <w:rPr>
          <w:rFonts w:ascii="Arial" w:hAnsi="Arial" w:cs="Arial"/>
        </w:rPr>
        <w:t>Irena Kodele Krašna,         ravnateljica</w:t>
      </w:r>
    </w:p>
    <w:p w:rsidR="0097145C" w:rsidRPr="001E31A5" w:rsidRDefault="00BB7F95" w:rsidP="00EE128F">
      <w:pPr>
        <w:overflowPunct w:val="0"/>
        <w:autoSpaceDE w:val="0"/>
        <w:autoSpaceDN w:val="0"/>
        <w:adjustRightInd w:val="0"/>
        <w:spacing w:before="120"/>
        <w:jc w:val="both"/>
        <w:textAlignment w:val="baseline"/>
        <w:rPr>
          <w:rFonts w:ascii="Arial" w:hAnsi="Arial" w:cs="Arial"/>
          <w:b/>
          <w:sz w:val="22"/>
          <w:szCs w:val="22"/>
        </w:rPr>
      </w:pPr>
      <w:r w:rsidRPr="001E31A5">
        <w:rPr>
          <w:rFonts w:ascii="Arial" w:hAnsi="Arial" w:cs="Arial"/>
          <w:b/>
          <w:sz w:val="22"/>
          <w:szCs w:val="22"/>
        </w:rPr>
        <w:lastRenderedPageBreak/>
        <w:t>10. točka: IP kanalizacija Lokavec (Čohi, Brod, Slokarji)</w:t>
      </w:r>
    </w:p>
    <w:p w:rsidR="00BB7F95" w:rsidRPr="001E31A5" w:rsidRDefault="00BB7F95" w:rsidP="00BB7F95">
      <w:pPr>
        <w:jc w:val="both"/>
        <w:rPr>
          <w:rFonts w:ascii="Arial" w:hAnsi="Arial" w:cs="Arial"/>
          <w:sz w:val="22"/>
          <w:szCs w:val="22"/>
        </w:rPr>
      </w:pPr>
      <w:r w:rsidRPr="001E31A5">
        <w:rPr>
          <w:rFonts w:ascii="Arial" w:hAnsi="Arial" w:cs="Arial"/>
          <w:sz w:val="22"/>
          <w:szCs w:val="22"/>
        </w:rPr>
        <w:t>Predloženi investicijski program povzema dva dokumenta DIIP in sicer DIIP za izgradnjo vodovoda Lokavec (Gorenje, Čohi, Brod ter Slokarji), ki je bil potrjen na seji Občinskega sveta 30.</w:t>
      </w:r>
      <w:r w:rsidR="00601A69" w:rsidRPr="001E31A5">
        <w:rPr>
          <w:rFonts w:ascii="Arial" w:hAnsi="Arial" w:cs="Arial"/>
          <w:sz w:val="22"/>
          <w:szCs w:val="22"/>
        </w:rPr>
        <w:t xml:space="preserve"> </w:t>
      </w:r>
      <w:r w:rsidRPr="001E31A5">
        <w:rPr>
          <w:rFonts w:ascii="Arial" w:hAnsi="Arial" w:cs="Arial"/>
          <w:sz w:val="22"/>
          <w:szCs w:val="22"/>
        </w:rPr>
        <w:t>5.</w:t>
      </w:r>
      <w:r w:rsidR="00601A69" w:rsidRPr="001E31A5">
        <w:rPr>
          <w:rFonts w:ascii="Arial" w:hAnsi="Arial" w:cs="Arial"/>
          <w:sz w:val="22"/>
          <w:szCs w:val="22"/>
        </w:rPr>
        <w:t xml:space="preserve"> </w:t>
      </w:r>
      <w:r w:rsidRPr="001E31A5">
        <w:rPr>
          <w:rFonts w:ascii="Arial" w:hAnsi="Arial" w:cs="Arial"/>
          <w:sz w:val="22"/>
          <w:szCs w:val="22"/>
        </w:rPr>
        <w:t>2013, ter DIIP za izgradnjo kanalizacije po naseljih Brod, Čohi ter Slokarji, ki je bil potrjen na seji Občinskega sveta 10.</w:t>
      </w:r>
      <w:r w:rsidR="00601A69" w:rsidRPr="001E31A5">
        <w:rPr>
          <w:rFonts w:ascii="Arial" w:hAnsi="Arial" w:cs="Arial"/>
          <w:sz w:val="22"/>
          <w:szCs w:val="22"/>
        </w:rPr>
        <w:t xml:space="preserve"> </w:t>
      </w:r>
      <w:r w:rsidRPr="001E31A5">
        <w:rPr>
          <w:rFonts w:ascii="Arial" w:hAnsi="Arial" w:cs="Arial"/>
          <w:sz w:val="22"/>
          <w:szCs w:val="22"/>
        </w:rPr>
        <w:t>3.</w:t>
      </w:r>
      <w:r w:rsidR="00601A69" w:rsidRPr="001E31A5">
        <w:rPr>
          <w:rFonts w:ascii="Arial" w:hAnsi="Arial" w:cs="Arial"/>
          <w:sz w:val="22"/>
          <w:szCs w:val="22"/>
        </w:rPr>
        <w:t xml:space="preserve"> </w:t>
      </w:r>
      <w:r w:rsidRPr="001E31A5">
        <w:rPr>
          <w:rFonts w:ascii="Arial" w:hAnsi="Arial" w:cs="Arial"/>
          <w:sz w:val="22"/>
          <w:szCs w:val="22"/>
        </w:rPr>
        <w:t>2016.</w:t>
      </w:r>
    </w:p>
    <w:p w:rsidR="00BB7F95" w:rsidRPr="001E31A5" w:rsidRDefault="00BB7F95" w:rsidP="00BB7F95">
      <w:pPr>
        <w:overflowPunct w:val="0"/>
        <w:autoSpaceDE w:val="0"/>
        <w:autoSpaceDN w:val="0"/>
        <w:adjustRightInd w:val="0"/>
        <w:spacing w:before="120"/>
        <w:jc w:val="both"/>
        <w:textAlignment w:val="baseline"/>
        <w:rPr>
          <w:rFonts w:ascii="Arial" w:hAnsi="Arial" w:cs="Arial"/>
          <w:sz w:val="22"/>
          <w:szCs w:val="22"/>
        </w:rPr>
      </w:pPr>
      <w:r w:rsidRPr="001E31A5">
        <w:rPr>
          <w:rFonts w:ascii="Arial" w:hAnsi="Arial" w:cs="Arial"/>
          <w:sz w:val="22"/>
          <w:szCs w:val="22"/>
        </w:rPr>
        <w:t>V veljavnem operativnem programu odvajanja in čiščenja komunalne odpadne vode so navedena naselja klasificirana kot aglomeracijsko območje št. 1335 Lokavec, skladno z zahtevami Uredbe o odvajanju in čiščenju komunalne odpadne vode pa mora biti aglomeracija s skupno obremenitvijo manj kot 500 PE opremljena z javno kanalizacijo do 31.</w:t>
      </w:r>
      <w:r w:rsidR="00601A69" w:rsidRPr="001E31A5">
        <w:rPr>
          <w:rFonts w:ascii="Arial" w:hAnsi="Arial" w:cs="Arial"/>
          <w:sz w:val="22"/>
          <w:szCs w:val="22"/>
        </w:rPr>
        <w:t xml:space="preserve"> </w:t>
      </w:r>
      <w:r w:rsidRPr="001E31A5">
        <w:rPr>
          <w:rFonts w:ascii="Arial" w:hAnsi="Arial" w:cs="Arial"/>
          <w:sz w:val="22"/>
          <w:szCs w:val="22"/>
        </w:rPr>
        <w:t>12.</w:t>
      </w:r>
      <w:r w:rsidR="00601A69" w:rsidRPr="001E31A5">
        <w:rPr>
          <w:rFonts w:ascii="Arial" w:hAnsi="Arial" w:cs="Arial"/>
          <w:sz w:val="22"/>
          <w:szCs w:val="22"/>
        </w:rPr>
        <w:t xml:space="preserve"> </w:t>
      </w:r>
      <w:r w:rsidRPr="001E31A5">
        <w:rPr>
          <w:rFonts w:ascii="Arial" w:hAnsi="Arial" w:cs="Arial"/>
          <w:sz w:val="22"/>
          <w:szCs w:val="22"/>
        </w:rPr>
        <w:t>2023.</w:t>
      </w:r>
    </w:p>
    <w:p w:rsidR="00BB7F95" w:rsidRPr="001E31A5" w:rsidRDefault="00D52313" w:rsidP="00BB7F95">
      <w:pPr>
        <w:overflowPunct w:val="0"/>
        <w:autoSpaceDE w:val="0"/>
        <w:autoSpaceDN w:val="0"/>
        <w:adjustRightInd w:val="0"/>
        <w:spacing w:before="120"/>
        <w:jc w:val="both"/>
        <w:textAlignment w:val="baseline"/>
        <w:rPr>
          <w:rFonts w:ascii="Arial" w:hAnsi="Arial" w:cs="Arial"/>
          <w:sz w:val="22"/>
          <w:szCs w:val="22"/>
        </w:rPr>
      </w:pPr>
      <w:r w:rsidRPr="001E31A5">
        <w:rPr>
          <w:rFonts w:ascii="Arial" w:hAnsi="Arial" w:cs="Arial"/>
          <w:sz w:val="22"/>
          <w:szCs w:val="22"/>
        </w:rPr>
        <w:t xml:space="preserve">Vrednost investicije brez DDV znaša: 1.085.870 </w:t>
      </w:r>
      <w:r w:rsidR="00633F93" w:rsidRPr="001E31A5">
        <w:rPr>
          <w:rFonts w:ascii="Arial" w:hAnsi="Arial" w:cs="Arial"/>
          <w:sz w:val="22"/>
          <w:szCs w:val="22"/>
        </w:rPr>
        <w:t>EUR</w:t>
      </w:r>
      <w:r w:rsidRPr="001E31A5">
        <w:rPr>
          <w:rFonts w:ascii="Arial" w:hAnsi="Arial" w:cs="Arial"/>
          <w:sz w:val="22"/>
          <w:szCs w:val="22"/>
        </w:rPr>
        <w:t xml:space="preserve"> po tekočih cenah. I</w:t>
      </w:r>
      <w:r w:rsidR="00B924FF" w:rsidRPr="001E31A5">
        <w:rPr>
          <w:rFonts w:ascii="Arial" w:hAnsi="Arial" w:cs="Arial"/>
          <w:sz w:val="22"/>
          <w:szCs w:val="22"/>
        </w:rPr>
        <w:t>z</w:t>
      </w:r>
      <w:r w:rsidRPr="001E31A5">
        <w:rPr>
          <w:rFonts w:ascii="Arial" w:hAnsi="Arial" w:cs="Arial"/>
          <w:sz w:val="22"/>
          <w:szCs w:val="22"/>
        </w:rPr>
        <w:t xml:space="preserve">vedba </w:t>
      </w:r>
      <w:r w:rsidR="001E31A5" w:rsidRPr="001E31A5">
        <w:rPr>
          <w:rFonts w:ascii="Arial" w:hAnsi="Arial" w:cs="Arial"/>
          <w:sz w:val="22"/>
          <w:szCs w:val="22"/>
        </w:rPr>
        <w:t xml:space="preserve">vseh </w:t>
      </w:r>
      <w:r w:rsidRPr="001E31A5">
        <w:rPr>
          <w:rFonts w:ascii="Arial" w:hAnsi="Arial" w:cs="Arial"/>
          <w:sz w:val="22"/>
          <w:szCs w:val="22"/>
        </w:rPr>
        <w:t xml:space="preserve">del </w:t>
      </w:r>
      <w:r w:rsidR="001E31A5" w:rsidRPr="001E31A5">
        <w:rPr>
          <w:rFonts w:ascii="Arial" w:hAnsi="Arial" w:cs="Arial"/>
          <w:sz w:val="22"/>
          <w:szCs w:val="22"/>
        </w:rPr>
        <w:t>je predvidena</w:t>
      </w:r>
      <w:r w:rsidRPr="001E31A5">
        <w:rPr>
          <w:rFonts w:ascii="Arial" w:hAnsi="Arial" w:cs="Arial"/>
          <w:sz w:val="22"/>
          <w:szCs w:val="22"/>
        </w:rPr>
        <w:t xml:space="preserve"> od septembra 2017 do </w:t>
      </w:r>
      <w:r w:rsidR="001E31A5" w:rsidRPr="001E31A5">
        <w:rPr>
          <w:rFonts w:ascii="Arial" w:hAnsi="Arial" w:cs="Arial"/>
          <w:sz w:val="22"/>
          <w:szCs w:val="22"/>
        </w:rPr>
        <w:t xml:space="preserve">junija </w:t>
      </w:r>
      <w:r w:rsidR="00B924FF" w:rsidRPr="001E31A5">
        <w:rPr>
          <w:rFonts w:ascii="Arial" w:hAnsi="Arial" w:cs="Arial"/>
          <w:sz w:val="22"/>
          <w:szCs w:val="22"/>
        </w:rPr>
        <w:t xml:space="preserve">2020. </w:t>
      </w:r>
    </w:p>
    <w:p w:rsidR="00D52313" w:rsidRPr="001E31A5" w:rsidRDefault="00D52313" w:rsidP="00BB7F95">
      <w:pPr>
        <w:overflowPunct w:val="0"/>
        <w:autoSpaceDE w:val="0"/>
        <w:autoSpaceDN w:val="0"/>
        <w:adjustRightInd w:val="0"/>
        <w:spacing w:before="120"/>
        <w:jc w:val="both"/>
        <w:textAlignment w:val="baseline"/>
        <w:rPr>
          <w:rFonts w:ascii="Arial" w:hAnsi="Arial" w:cs="Arial"/>
          <w:sz w:val="22"/>
          <w:szCs w:val="22"/>
        </w:rPr>
      </w:pPr>
    </w:p>
    <w:p w:rsidR="0097145C" w:rsidRPr="001E31A5" w:rsidRDefault="00BB7F95" w:rsidP="00BB7F95">
      <w:pPr>
        <w:overflowPunct w:val="0"/>
        <w:autoSpaceDE w:val="0"/>
        <w:autoSpaceDN w:val="0"/>
        <w:adjustRightInd w:val="0"/>
        <w:ind w:left="60"/>
        <w:textAlignment w:val="baseline"/>
        <w:rPr>
          <w:rFonts w:ascii="Arial" w:hAnsi="Arial" w:cs="Arial"/>
          <w:b/>
          <w:bCs/>
          <w:sz w:val="22"/>
          <w:szCs w:val="22"/>
        </w:rPr>
      </w:pPr>
      <w:r w:rsidRPr="001E31A5">
        <w:rPr>
          <w:rFonts w:ascii="Arial" w:hAnsi="Arial" w:cs="Arial"/>
          <w:b/>
          <w:bCs/>
          <w:sz w:val="22"/>
          <w:szCs w:val="22"/>
        </w:rPr>
        <w:t xml:space="preserve">            IP kanalizacija in vodovod Dobravlje</w:t>
      </w:r>
    </w:p>
    <w:p w:rsidR="00BB7F95" w:rsidRPr="001E31A5" w:rsidRDefault="00BB7F95" w:rsidP="00BB7F95">
      <w:pPr>
        <w:jc w:val="both"/>
        <w:rPr>
          <w:rFonts w:ascii="Arial" w:hAnsi="Arial" w:cs="Arial"/>
          <w:sz w:val="22"/>
          <w:szCs w:val="22"/>
        </w:rPr>
      </w:pPr>
      <w:r w:rsidRPr="001E31A5">
        <w:rPr>
          <w:rFonts w:ascii="Arial" w:hAnsi="Arial" w:cs="Arial"/>
          <w:sz w:val="22"/>
          <w:szCs w:val="22"/>
        </w:rPr>
        <w:t>Občina Ajdovščina namerava izgraditi komunalno opremo in čistilno napravo v naselju Dobravlje.</w:t>
      </w:r>
    </w:p>
    <w:p w:rsidR="00BB7F95" w:rsidRPr="001E31A5" w:rsidRDefault="00BB7F95" w:rsidP="00BB7F95">
      <w:pPr>
        <w:ind w:left="360"/>
        <w:jc w:val="both"/>
        <w:rPr>
          <w:rFonts w:ascii="Arial" w:hAnsi="Arial" w:cs="Arial"/>
          <w:sz w:val="22"/>
          <w:szCs w:val="22"/>
        </w:rPr>
      </w:pPr>
      <w:r w:rsidRPr="001E31A5">
        <w:rPr>
          <w:rFonts w:ascii="Arial" w:hAnsi="Arial" w:cs="Arial"/>
          <w:sz w:val="22"/>
          <w:szCs w:val="22"/>
        </w:rPr>
        <w:t>V okviru projekta bodo izvedene naslednje investicije</w:t>
      </w:r>
      <w:r w:rsidR="00601A69" w:rsidRPr="001E31A5">
        <w:rPr>
          <w:rFonts w:ascii="Arial" w:hAnsi="Arial" w:cs="Arial"/>
          <w:sz w:val="22"/>
          <w:szCs w:val="22"/>
        </w:rPr>
        <w:t xml:space="preserve"> v</w:t>
      </w:r>
      <w:r w:rsidRPr="001E31A5">
        <w:rPr>
          <w:rFonts w:ascii="Arial" w:hAnsi="Arial" w:cs="Arial"/>
          <w:sz w:val="22"/>
          <w:szCs w:val="22"/>
        </w:rPr>
        <w:t>:</w:t>
      </w:r>
    </w:p>
    <w:p w:rsidR="00BB7F95" w:rsidRPr="001E31A5" w:rsidRDefault="00BB7F95" w:rsidP="00BB7F95">
      <w:pPr>
        <w:numPr>
          <w:ilvl w:val="0"/>
          <w:numId w:val="8"/>
        </w:numPr>
        <w:jc w:val="both"/>
        <w:rPr>
          <w:rFonts w:ascii="Arial" w:hAnsi="Arial" w:cs="Arial"/>
          <w:sz w:val="22"/>
          <w:szCs w:val="22"/>
        </w:rPr>
      </w:pPr>
      <w:r w:rsidRPr="001E31A5">
        <w:rPr>
          <w:rFonts w:ascii="Arial" w:hAnsi="Arial" w:cs="Arial"/>
          <w:sz w:val="22"/>
          <w:szCs w:val="22"/>
        </w:rPr>
        <w:t xml:space="preserve">-  novo čistilno napravo predvidene kapacitete vsaj 700 PE,  </w:t>
      </w:r>
    </w:p>
    <w:p w:rsidR="00BB7F95" w:rsidRPr="001E31A5" w:rsidRDefault="00BB7F95" w:rsidP="00BB7F95">
      <w:pPr>
        <w:numPr>
          <w:ilvl w:val="0"/>
          <w:numId w:val="8"/>
        </w:numPr>
        <w:jc w:val="both"/>
        <w:rPr>
          <w:rFonts w:ascii="Arial" w:hAnsi="Arial" w:cs="Arial"/>
          <w:sz w:val="22"/>
          <w:szCs w:val="22"/>
        </w:rPr>
      </w:pPr>
      <w:r w:rsidRPr="001E31A5">
        <w:rPr>
          <w:rFonts w:ascii="Arial" w:hAnsi="Arial" w:cs="Arial"/>
          <w:sz w:val="22"/>
          <w:szCs w:val="22"/>
        </w:rPr>
        <w:t xml:space="preserve">- novogradnjo 3.795 m fekalne kanalizacije,  </w:t>
      </w:r>
    </w:p>
    <w:p w:rsidR="00BB7F95" w:rsidRPr="001E31A5" w:rsidRDefault="00BB7F95" w:rsidP="00BB7F95">
      <w:pPr>
        <w:numPr>
          <w:ilvl w:val="0"/>
          <w:numId w:val="8"/>
        </w:numPr>
        <w:jc w:val="both"/>
        <w:rPr>
          <w:rFonts w:ascii="Arial" w:hAnsi="Arial" w:cs="Arial"/>
          <w:sz w:val="22"/>
          <w:szCs w:val="22"/>
        </w:rPr>
      </w:pPr>
      <w:r w:rsidRPr="001E31A5">
        <w:rPr>
          <w:rFonts w:ascii="Arial" w:hAnsi="Arial" w:cs="Arial"/>
          <w:sz w:val="22"/>
          <w:szCs w:val="22"/>
        </w:rPr>
        <w:t>- novogradnjo 1500 meteorne kanalizacije,</w:t>
      </w:r>
    </w:p>
    <w:p w:rsidR="00BB7F95" w:rsidRPr="001E31A5" w:rsidRDefault="00BB7F95" w:rsidP="00BB7F95">
      <w:pPr>
        <w:numPr>
          <w:ilvl w:val="0"/>
          <w:numId w:val="8"/>
        </w:numPr>
        <w:jc w:val="both"/>
        <w:rPr>
          <w:rFonts w:ascii="Arial" w:hAnsi="Arial" w:cs="Arial"/>
          <w:sz w:val="22"/>
          <w:szCs w:val="22"/>
        </w:rPr>
      </w:pPr>
      <w:r w:rsidRPr="001E31A5">
        <w:rPr>
          <w:rFonts w:ascii="Arial" w:hAnsi="Arial" w:cs="Arial"/>
          <w:sz w:val="22"/>
          <w:szCs w:val="22"/>
        </w:rPr>
        <w:t xml:space="preserve">- </w:t>
      </w:r>
      <w:r w:rsidR="00601A69" w:rsidRPr="001E31A5">
        <w:rPr>
          <w:rFonts w:ascii="Arial" w:hAnsi="Arial" w:cs="Arial"/>
          <w:sz w:val="22"/>
          <w:szCs w:val="22"/>
        </w:rPr>
        <w:t>dve</w:t>
      </w:r>
      <w:r w:rsidRPr="001E31A5">
        <w:rPr>
          <w:rFonts w:ascii="Arial" w:hAnsi="Arial" w:cs="Arial"/>
          <w:sz w:val="22"/>
          <w:szCs w:val="22"/>
        </w:rPr>
        <w:t xml:space="preserve"> črpališči,</w:t>
      </w:r>
    </w:p>
    <w:p w:rsidR="00BB7F95" w:rsidRPr="001E31A5" w:rsidRDefault="00601A69" w:rsidP="00BB7F95">
      <w:pPr>
        <w:numPr>
          <w:ilvl w:val="0"/>
          <w:numId w:val="8"/>
        </w:numPr>
        <w:jc w:val="both"/>
        <w:rPr>
          <w:rFonts w:ascii="Arial" w:hAnsi="Arial" w:cs="Arial"/>
          <w:sz w:val="22"/>
          <w:szCs w:val="22"/>
        </w:rPr>
      </w:pPr>
      <w:r w:rsidRPr="001E31A5">
        <w:rPr>
          <w:rFonts w:ascii="Arial" w:hAnsi="Arial" w:cs="Arial"/>
          <w:sz w:val="22"/>
          <w:szCs w:val="22"/>
        </w:rPr>
        <w:t>- obnovo</w:t>
      </w:r>
      <w:r w:rsidR="00BB7F95" w:rsidRPr="001E31A5">
        <w:rPr>
          <w:rFonts w:ascii="Arial" w:hAnsi="Arial" w:cs="Arial"/>
          <w:sz w:val="22"/>
          <w:szCs w:val="22"/>
        </w:rPr>
        <w:t xml:space="preserve"> 2.000 m vodovoda</w:t>
      </w:r>
      <w:r w:rsidRPr="001E31A5">
        <w:rPr>
          <w:rFonts w:ascii="Arial" w:hAnsi="Arial" w:cs="Arial"/>
          <w:sz w:val="22"/>
          <w:szCs w:val="22"/>
        </w:rPr>
        <w:t>,</w:t>
      </w:r>
    </w:p>
    <w:p w:rsidR="00BB7F95" w:rsidRPr="001E31A5" w:rsidRDefault="00BB7F95" w:rsidP="00BB7F95">
      <w:pPr>
        <w:numPr>
          <w:ilvl w:val="0"/>
          <w:numId w:val="8"/>
        </w:numPr>
        <w:jc w:val="both"/>
        <w:rPr>
          <w:rFonts w:ascii="Arial" w:hAnsi="Arial" w:cs="Arial"/>
          <w:sz w:val="22"/>
          <w:szCs w:val="22"/>
        </w:rPr>
      </w:pPr>
      <w:r w:rsidRPr="001E31A5">
        <w:rPr>
          <w:rFonts w:ascii="Arial" w:hAnsi="Arial" w:cs="Arial"/>
          <w:sz w:val="22"/>
          <w:szCs w:val="22"/>
        </w:rPr>
        <w:t>-139 hišnih priključkov kanalizacije.</w:t>
      </w:r>
    </w:p>
    <w:p w:rsidR="00BB7F95" w:rsidRPr="001E31A5" w:rsidRDefault="001E31A5" w:rsidP="001E31A5">
      <w:pPr>
        <w:jc w:val="both"/>
        <w:rPr>
          <w:rFonts w:ascii="Arial" w:hAnsi="Arial" w:cs="Arial"/>
          <w:sz w:val="22"/>
          <w:szCs w:val="22"/>
        </w:rPr>
      </w:pPr>
      <w:r w:rsidRPr="001E31A5">
        <w:rPr>
          <w:rFonts w:ascii="Arial" w:hAnsi="Arial" w:cs="Arial"/>
          <w:sz w:val="22"/>
          <w:szCs w:val="22"/>
        </w:rPr>
        <w:t>Vrednost investicije brez DDV znaša: 1.296.425 EUR po tekočih cenah. Izvedba vseh del je predvidena od avgusta 2017 do junija 2019.</w:t>
      </w:r>
    </w:p>
    <w:p w:rsidR="00BB7F95" w:rsidRPr="001E31A5" w:rsidRDefault="00BB7F95" w:rsidP="00BB7F95">
      <w:pPr>
        <w:ind w:left="720"/>
        <w:jc w:val="both"/>
        <w:rPr>
          <w:rFonts w:ascii="Arial" w:hAnsi="Arial" w:cs="Arial"/>
          <w:sz w:val="22"/>
          <w:szCs w:val="22"/>
        </w:rPr>
      </w:pPr>
    </w:p>
    <w:p w:rsidR="00BB7F95" w:rsidRPr="001E31A5" w:rsidRDefault="00BB7F95" w:rsidP="00BB7F95">
      <w:pPr>
        <w:ind w:left="720"/>
        <w:jc w:val="both"/>
        <w:rPr>
          <w:rFonts w:ascii="Arial" w:hAnsi="Arial" w:cs="Arial"/>
          <w:b/>
          <w:sz w:val="22"/>
          <w:szCs w:val="22"/>
        </w:rPr>
      </w:pPr>
      <w:r w:rsidRPr="001E31A5">
        <w:rPr>
          <w:rFonts w:ascii="Arial" w:hAnsi="Arial" w:cs="Arial"/>
          <w:b/>
          <w:sz w:val="22"/>
          <w:szCs w:val="22"/>
        </w:rPr>
        <w:t>IP kanalizacija in vodovod Male Žablje</w:t>
      </w:r>
    </w:p>
    <w:p w:rsidR="00BB7F95" w:rsidRPr="001E31A5" w:rsidRDefault="00BB7F95" w:rsidP="00BB7F95">
      <w:pPr>
        <w:ind w:left="720"/>
        <w:jc w:val="both"/>
        <w:rPr>
          <w:rFonts w:ascii="Arial" w:hAnsi="Arial" w:cs="Arial"/>
          <w:b/>
          <w:sz w:val="22"/>
          <w:szCs w:val="22"/>
        </w:rPr>
      </w:pPr>
    </w:p>
    <w:p w:rsidR="00BB7F95" w:rsidRPr="001E31A5" w:rsidRDefault="00BB7F95" w:rsidP="00BB7F95">
      <w:pPr>
        <w:jc w:val="both"/>
        <w:rPr>
          <w:rFonts w:ascii="Arial" w:hAnsi="Arial" w:cs="Arial"/>
          <w:sz w:val="22"/>
          <w:szCs w:val="22"/>
        </w:rPr>
      </w:pPr>
      <w:r w:rsidRPr="001E31A5">
        <w:rPr>
          <w:rFonts w:ascii="Arial" w:hAnsi="Arial" w:cs="Arial"/>
          <w:sz w:val="22"/>
          <w:szCs w:val="22"/>
        </w:rPr>
        <w:t xml:space="preserve">Občina Ajdovščina namerava izgraditi komunalno opremo v naselju Male Žablje. </w:t>
      </w:r>
    </w:p>
    <w:p w:rsidR="00BB7F95" w:rsidRPr="001E31A5" w:rsidRDefault="00BB7F95" w:rsidP="00BB7F95">
      <w:pPr>
        <w:jc w:val="both"/>
        <w:rPr>
          <w:rFonts w:ascii="Arial" w:hAnsi="Arial" w:cs="Arial"/>
          <w:sz w:val="22"/>
          <w:szCs w:val="22"/>
        </w:rPr>
      </w:pPr>
      <w:r w:rsidRPr="001E31A5">
        <w:rPr>
          <w:rFonts w:ascii="Arial" w:hAnsi="Arial" w:cs="Arial"/>
          <w:sz w:val="22"/>
          <w:szCs w:val="22"/>
        </w:rPr>
        <w:t xml:space="preserve">V naselju Male Žablje bo v sklopu investicije izvedeno: </w:t>
      </w:r>
    </w:p>
    <w:p w:rsidR="00BB7F95" w:rsidRPr="001E31A5" w:rsidRDefault="00BB7F95" w:rsidP="00BB7F95">
      <w:pPr>
        <w:spacing w:line="276" w:lineRule="auto"/>
        <w:jc w:val="both"/>
        <w:rPr>
          <w:rFonts w:ascii="Arial" w:hAnsi="Arial" w:cs="Arial"/>
          <w:sz w:val="22"/>
          <w:szCs w:val="22"/>
        </w:rPr>
      </w:pPr>
      <w:r w:rsidRPr="001E31A5">
        <w:rPr>
          <w:rFonts w:ascii="Arial" w:hAnsi="Arial" w:cs="Arial"/>
          <w:sz w:val="22"/>
          <w:szCs w:val="22"/>
        </w:rPr>
        <w:t xml:space="preserve">– 2953 m gravitacijske ter 343 m tlačne kanalizacije za odpadne vode, </w:t>
      </w:r>
    </w:p>
    <w:p w:rsidR="00BB7F95" w:rsidRPr="001E31A5" w:rsidRDefault="00BB7F95" w:rsidP="00BB7F95">
      <w:pPr>
        <w:spacing w:line="276" w:lineRule="auto"/>
        <w:jc w:val="both"/>
        <w:rPr>
          <w:rFonts w:ascii="Arial" w:hAnsi="Arial" w:cs="Arial"/>
          <w:sz w:val="22"/>
          <w:szCs w:val="22"/>
        </w:rPr>
      </w:pPr>
      <w:r w:rsidRPr="001E31A5">
        <w:rPr>
          <w:rFonts w:ascii="Arial" w:hAnsi="Arial" w:cs="Arial"/>
          <w:sz w:val="22"/>
          <w:szCs w:val="22"/>
        </w:rPr>
        <w:t>- 415 meteorne kanalizacije,</w:t>
      </w:r>
    </w:p>
    <w:p w:rsidR="00BB7F95" w:rsidRPr="001E31A5" w:rsidRDefault="00BB7F95" w:rsidP="00BB7F95">
      <w:pPr>
        <w:spacing w:line="276" w:lineRule="auto"/>
        <w:jc w:val="both"/>
        <w:rPr>
          <w:rFonts w:ascii="Arial" w:hAnsi="Arial" w:cs="Arial"/>
          <w:sz w:val="22"/>
          <w:szCs w:val="22"/>
        </w:rPr>
      </w:pPr>
      <w:r w:rsidRPr="001E31A5">
        <w:rPr>
          <w:rFonts w:ascii="Arial" w:hAnsi="Arial" w:cs="Arial"/>
          <w:sz w:val="22"/>
          <w:szCs w:val="22"/>
        </w:rPr>
        <w:t xml:space="preserve"> - </w:t>
      </w:r>
      <w:r w:rsidR="00601A69" w:rsidRPr="001E31A5">
        <w:rPr>
          <w:rFonts w:ascii="Arial" w:hAnsi="Arial" w:cs="Arial"/>
          <w:sz w:val="22"/>
          <w:szCs w:val="22"/>
        </w:rPr>
        <w:t>dve</w:t>
      </w:r>
      <w:r w:rsidRPr="001E31A5">
        <w:rPr>
          <w:rFonts w:ascii="Arial" w:hAnsi="Arial" w:cs="Arial"/>
          <w:sz w:val="22"/>
          <w:szCs w:val="22"/>
        </w:rPr>
        <w:t xml:space="preserve"> črpališči,</w:t>
      </w:r>
    </w:p>
    <w:p w:rsidR="00BB7F95" w:rsidRPr="001E31A5" w:rsidRDefault="00BB7F95" w:rsidP="00BB7F95">
      <w:pPr>
        <w:spacing w:line="276" w:lineRule="auto"/>
        <w:jc w:val="both"/>
        <w:rPr>
          <w:rFonts w:ascii="Arial" w:hAnsi="Arial" w:cs="Arial"/>
          <w:sz w:val="22"/>
          <w:szCs w:val="22"/>
        </w:rPr>
      </w:pPr>
      <w:r w:rsidRPr="001E31A5">
        <w:rPr>
          <w:rFonts w:ascii="Arial" w:hAnsi="Arial" w:cs="Arial"/>
          <w:sz w:val="22"/>
          <w:szCs w:val="22"/>
        </w:rPr>
        <w:t>- 130 hišnih priključkov na fekalno kanalizacijo,</w:t>
      </w:r>
    </w:p>
    <w:p w:rsidR="00BB7F95" w:rsidRPr="001E31A5" w:rsidRDefault="00BB7F95" w:rsidP="00BB7F95">
      <w:pPr>
        <w:spacing w:line="276" w:lineRule="auto"/>
        <w:jc w:val="both"/>
        <w:rPr>
          <w:rFonts w:ascii="Arial" w:hAnsi="Arial" w:cs="Arial"/>
          <w:sz w:val="22"/>
          <w:szCs w:val="22"/>
        </w:rPr>
      </w:pPr>
      <w:r w:rsidRPr="001E31A5">
        <w:rPr>
          <w:rFonts w:ascii="Arial" w:hAnsi="Arial" w:cs="Arial"/>
          <w:sz w:val="22"/>
          <w:szCs w:val="22"/>
        </w:rPr>
        <w:t>- obnova vodovodnega omrežja in hišnih priključkov .</w:t>
      </w:r>
    </w:p>
    <w:p w:rsidR="001E31A5" w:rsidRPr="001E31A5" w:rsidRDefault="001E31A5" w:rsidP="001E31A5">
      <w:pPr>
        <w:jc w:val="both"/>
        <w:rPr>
          <w:rFonts w:ascii="Arial" w:hAnsi="Arial" w:cs="Arial"/>
          <w:b/>
          <w:sz w:val="22"/>
          <w:szCs w:val="22"/>
        </w:rPr>
      </w:pPr>
    </w:p>
    <w:p w:rsidR="001E31A5" w:rsidRPr="001E31A5" w:rsidRDefault="001E31A5" w:rsidP="001E31A5">
      <w:pPr>
        <w:jc w:val="both"/>
        <w:rPr>
          <w:rFonts w:ascii="Arial" w:hAnsi="Arial" w:cs="Arial"/>
          <w:b/>
          <w:sz w:val="22"/>
          <w:szCs w:val="22"/>
        </w:rPr>
      </w:pPr>
      <w:r w:rsidRPr="001E31A5">
        <w:rPr>
          <w:rFonts w:ascii="Arial" w:hAnsi="Arial" w:cs="Arial"/>
          <w:sz w:val="22"/>
          <w:szCs w:val="22"/>
        </w:rPr>
        <w:t>Vrednost investicije brez DDV znaša: 1.185.000 EUR po tekočih cenah. Izvedba vseh del je predvidena od avgusta 2017 do junija 2019.</w:t>
      </w:r>
    </w:p>
    <w:p w:rsidR="001E31A5" w:rsidRPr="001E31A5" w:rsidRDefault="001E31A5" w:rsidP="00BB7F95">
      <w:pPr>
        <w:overflowPunct w:val="0"/>
        <w:autoSpaceDE w:val="0"/>
        <w:autoSpaceDN w:val="0"/>
        <w:adjustRightInd w:val="0"/>
        <w:ind w:left="60"/>
        <w:textAlignment w:val="baseline"/>
        <w:rPr>
          <w:rFonts w:ascii="Arial" w:hAnsi="Arial" w:cs="Arial"/>
          <w:bCs/>
          <w:sz w:val="22"/>
          <w:szCs w:val="22"/>
        </w:rPr>
      </w:pPr>
    </w:p>
    <w:p w:rsidR="00BB7F95" w:rsidRPr="001E31A5" w:rsidRDefault="00BB7F95" w:rsidP="00BB7F95">
      <w:pPr>
        <w:overflowPunct w:val="0"/>
        <w:autoSpaceDE w:val="0"/>
        <w:autoSpaceDN w:val="0"/>
        <w:adjustRightInd w:val="0"/>
        <w:ind w:left="60"/>
        <w:textAlignment w:val="baseline"/>
        <w:rPr>
          <w:rFonts w:ascii="Arial" w:hAnsi="Arial" w:cs="Arial"/>
          <w:bCs/>
          <w:sz w:val="22"/>
          <w:szCs w:val="22"/>
        </w:rPr>
      </w:pPr>
      <w:r w:rsidRPr="001E31A5">
        <w:rPr>
          <w:rFonts w:ascii="Arial" w:hAnsi="Arial" w:cs="Arial"/>
          <w:bCs/>
          <w:sz w:val="22"/>
          <w:szCs w:val="22"/>
        </w:rPr>
        <w:t>Pripravil: Peter Kete</w:t>
      </w:r>
    </w:p>
    <w:p w:rsidR="0097145C" w:rsidRPr="001E31A5" w:rsidRDefault="0097145C" w:rsidP="002E4E30">
      <w:pPr>
        <w:pStyle w:val="Naslov1"/>
        <w:jc w:val="both"/>
        <w:rPr>
          <w:rFonts w:ascii="Arial" w:hAnsi="Arial" w:cs="Arial"/>
          <w:bCs w:val="0"/>
          <w:sz w:val="22"/>
          <w:szCs w:val="22"/>
        </w:rPr>
      </w:pPr>
    </w:p>
    <w:p w:rsidR="002E4E30" w:rsidRPr="001E31A5" w:rsidRDefault="00EE128F" w:rsidP="002E4E30">
      <w:pPr>
        <w:pStyle w:val="Naslov1"/>
        <w:jc w:val="both"/>
        <w:rPr>
          <w:rFonts w:ascii="Arial" w:hAnsi="Arial" w:cs="Arial"/>
          <w:bCs w:val="0"/>
          <w:sz w:val="22"/>
          <w:szCs w:val="22"/>
        </w:rPr>
      </w:pPr>
      <w:r>
        <w:rPr>
          <w:rFonts w:ascii="Arial" w:hAnsi="Arial" w:cs="Arial"/>
          <w:bCs w:val="0"/>
          <w:sz w:val="22"/>
          <w:szCs w:val="22"/>
        </w:rPr>
        <w:t>12</w:t>
      </w:r>
      <w:r w:rsidR="002E4E30" w:rsidRPr="001E31A5">
        <w:rPr>
          <w:rFonts w:ascii="Arial" w:hAnsi="Arial" w:cs="Arial"/>
          <w:bCs w:val="0"/>
          <w:sz w:val="22"/>
          <w:szCs w:val="22"/>
        </w:rPr>
        <w:t>. točka: Sklepi o ukinitvah javnega dobra.</w:t>
      </w:r>
    </w:p>
    <w:p w:rsidR="002E4E30" w:rsidRPr="001E31A5" w:rsidRDefault="002E4E30" w:rsidP="002E4E30">
      <w:pPr>
        <w:spacing w:before="120"/>
        <w:jc w:val="both"/>
        <w:rPr>
          <w:rFonts w:ascii="Arial" w:hAnsi="Arial" w:cs="Arial"/>
          <w:sz w:val="22"/>
          <w:szCs w:val="22"/>
        </w:rPr>
      </w:pPr>
      <w:r w:rsidRPr="001E31A5">
        <w:rPr>
          <w:rFonts w:ascii="Arial" w:hAnsi="Arial" w:cs="Arial"/>
          <w:sz w:val="22"/>
          <w:szCs w:val="22"/>
        </w:rPr>
        <w:t>Pri vseh sedmih zadevah se predlagajo ukinitve javnega dobra pri parcelah ali delih parcel, kjer ni več splošna raba (v k.o. Črniče 2</w:t>
      </w:r>
      <w:r w:rsidR="00541D45" w:rsidRPr="001E31A5">
        <w:rPr>
          <w:rFonts w:ascii="Arial" w:hAnsi="Arial" w:cs="Arial"/>
          <w:sz w:val="22"/>
          <w:szCs w:val="22"/>
        </w:rPr>
        <w:t xml:space="preserve"> </w:t>
      </w:r>
      <w:r w:rsidRPr="001E31A5">
        <w:rPr>
          <w:rFonts w:ascii="Arial" w:hAnsi="Arial" w:cs="Arial"/>
          <w:sz w:val="22"/>
          <w:szCs w:val="22"/>
        </w:rPr>
        <w:t xml:space="preserve">x, k.o. Vrtovin, </w:t>
      </w:r>
      <w:proofErr w:type="spellStart"/>
      <w:r w:rsidRPr="001E31A5">
        <w:rPr>
          <w:rFonts w:ascii="Arial" w:hAnsi="Arial" w:cs="Arial"/>
          <w:sz w:val="22"/>
          <w:szCs w:val="22"/>
        </w:rPr>
        <w:t>k.o</w:t>
      </w:r>
      <w:proofErr w:type="spellEnd"/>
      <w:r w:rsidRPr="001E31A5">
        <w:rPr>
          <w:rFonts w:ascii="Arial" w:hAnsi="Arial" w:cs="Arial"/>
          <w:sz w:val="22"/>
          <w:szCs w:val="22"/>
        </w:rPr>
        <w:t xml:space="preserve"> Lokavec, k.o. Planina, </w:t>
      </w:r>
      <w:proofErr w:type="spellStart"/>
      <w:r w:rsidRPr="001E31A5">
        <w:rPr>
          <w:rFonts w:ascii="Arial" w:hAnsi="Arial" w:cs="Arial"/>
          <w:sz w:val="22"/>
          <w:szCs w:val="22"/>
        </w:rPr>
        <w:t>k.o</w:t>
      </w:r>
      <w:proofErr w:type="spellEnd"/>
      <w:r w:rsidRPr="001E31A5">
        <w:rPr>
          <w:rFonts w:ascii="Arial" w:hAnsi="Arial" w:cs="Arial"/>
          <w:sz w:val="22"/>
          <w:szCs w:val="22"/>
        </w:rPr>
        <w:t xml:space="preserve"> Šmarje in k.o. Vipavski Križ) in je v planu odsvojitev dejanskim uporabnikom</w:t>
      </w:r>
      <w:r w:rsidR="00541D45" w:rsidRPr="001E31A5">
        <w:rPr>
          <w:rFonts w:ascii="Arial" w:hAnsi="Arial" w:cs="Arial"/>
          <w:sz w:val="22"/>
          <w:szCs w:val="22"/>
        </w:rPr>
        <w:t>.</w:t>
      </w:r>
      <w:r w:rsidRPr="001E31A5">
        <w:rPr>
          <w:rFonts w:ascii="Arial" w:hAnsi="Arial" w:cs="Arial"/>
          <w:sz w:val="22"/>
          <w:szCs w:val="22"/>
        </w:rPr>
        <w:t xml:space="preserve"> </w:t>
      </w:r>
    </w:p>
    <w:p w:rsidR="002E4E30" w:rsidRPr="001E31A5" w:rsidRDefault="002E4E30" w:rsidP="002E4E30">
      <w:pPr>
        <w:rPr>
          <w:rFonts w:ascii="Arial" w:hAnsi="Arial" w:cs="Arial"/>
          <w:sz w:val="22"/>
          <w:szCs w:val="22"/>
        </w:rPr>
      </w:pPr>
    </w:p>
    <w:p w:rsidR="00B95570" w:rsidRPr="001E31A5" w:rsidRDefault="002E4E30" w:rsidP="004B3C33">
      <w:pPr>
        <w:rPr>
          <w:rFonts w:ascii="Arial" w:hAnsi="Arial" w:cs="Arial"/>
          <w:sz w:val="22"/>
          <w:szCs w:val="22"/>
        </w:rPr>
      </w:pPr>
      <w:r w:rsidRPr="001E31A5">
        <w:rPr>
          <w:rFonts w:ascii="Arial" w:hAnsi="Arial" w:cs="Arial"/>
          <w:sz w:val="22"/>
          <w:szCs w:val="22"/>
        </w:rPr>
        <w:t>Pripravili: Vida Šuštar in Barbara Regulj</w:t>
      </w:r>
    </w:p>
    <w:p w:rsidR="0097145C" w:rsidRPr="001E31A5" w:rsidRDefault="0097145C" w:rsidP="004B3C33">
      <w:pPr>
        <w:rPr>
          <w:rFonts w:ascii="Arial" w:hAnsi="Arial" w:cs="Arial"/>
          <w:sz w:val="22"/>
          <w:szCs w:val="22"/>
        </w:rPr>
      </w:pPr>
    </w:p>
    <w:sectPr w:rsidR="0097145C" w:rsidRPr="001E3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E7014"/>
    <w:multiLevelType w:val="hybridMultilevel"/>
    <w:tmpl w:val="02966CBC"/>
    <w:lvl w:ilvl="0" w:tplc="FFFFFFFF">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4740D7E"/>
    <w:multiLevelType w:val="hybridMultilevel"/>
    <w:tmpl w:val="8BE436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6064AE5"/>
    <w:multiLevelType w:val="hybridMultilevel"/>
    <w:tmpl w:val="FF04D0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5E07472"/>
    <w:multiLevelType w:val="hybridMultilevel"/>
    <w:tmpl w:val="A530A90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48D01E3D"/>
    <w:multiLevelType w:val="hybridMultilevel"/>
    <w:tmpl w:val="D09688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BAE1BE5"/>
    <w:multiLevelType w:val="hybridMultilevel"/>
    <w:tmpl w:val="F676C52A"/>
    <w:lvl w:ilvl="0" w:tplc="0424000F">
      <w:start w:val="1"/>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575E6E4C"/>
    <w:multiLevelType w:val="hybridMultilevel"/>
    <w:tmpl w:val="727C86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3B556D6"/>
    <w:multiLevelType w:val="hybridMultilevel"/>
    <w:tmpl w:val="80CCA892"/>
    <w:lvl w:ilvl="0" w:tplc="45C06440">
      <w:start w:val="26"/>
      <w:numFmt w:val="bullet"/>
      <w:lvlText w:val="-"/>
      <w:lvlJc w:val="left"/>
      <w:pPr>
        <w:ind w:left="720" w:hanging="360"/>
      </w:pPr>
      <w:rPr>
        <w:rFonts w:ascii="TimesNewRoman" w:eastAsia="Times New Roman" w:hAnsi="TimesNewRoman" w:cs="TimesNew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76B26445"/>
    <w:multiLevelType w:val="hybridMultilevel"/>
    <w:tmpl w:val="329AB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2"/>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33"/>
    <w:rsid w:val="00005DFF"/>
    <w:rsid w:val="001E31A5"/>
    <w:rsid w:val="00220F04"/>
    <w:rsid w:val="002E4E30"/>
    <w:rsid w:val="004B3C33"/>
    <w:rsid w:val="004F5DB1"/>
    <w:rsid w:val="00541D45"/>
    <w:rsid w:val="00601A69"/>
    <w:rsid w:val="00633F93"/>
    <w:rsid w:val="00682621"/>
    <w:rsid w:val="00876C60"/>
    <w:rsid w:val="0097145C"/>
    <w:rsid w:val="00996E17"/>
    <w:rsid w:val="00AA3C81"/>
    <w:rsid w:val="00AB337D"/>
    <w:rsid w:val="00B12730"/>
    <w:rsid w:val="00B924FF"/>
    <w:rsid w:val="00B95570"/>
    <w:rsid w:val="00BB7F95"/>
    <w:rsid w:val="00D52313"/>
    <w:rsid w:val="00E12E7B"/>
    <w:rsid w:val="00EA5663"/>
    <w:rsid w:val="00EE128F"/>
    <w:rsid w:val="00EE34FE"/>
    <w:rsid w:val="00FF2A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B3C33"/>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682621"/>
    <w:pPr>
      <w:keepNext/>
      <w:jc w:val="center"/>
      <w:outlineLvl w:val="0"/>
    </w:pPr>
    <w:rPr>
      <w:b/>
      <w:bCs/>
      <w:sz w:val="24"/>
      <w:szCs w:val="24"/>
    </w:rPr>
  </w:style>
  <w:style w:type="paragraph" w:styleId="Naslov3">
    <w:name w:val="heading 3"/>
    <w:basedOn w:val="Navaden"/>
    <w:next w:val="Navaden"/>
    <w:link w:val="Naslov3Znak"/>
    <w:uiPriority w:val="9"/>
    <w:semiHidden/>
    <w:unhideWhenUsed/>
    <w:qFormat/>
    <w:rsid w:val="00220F0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B3C33"/>
    <w:pPr>
      <w:ind w:left="720"/>
      <w:contextualSpacing/>
    </w:pPr>
    <w:rPr>
      <w:sz w:val="24"/>
      <w:szCs w:val="24"/>
    </w:rPr>
  </w:style>
  <w:style w:type="paragraph" w:styleId="Brezrazmikov">
    <w:name w:val="No Spacing"/>
    <w:link w:val="BrezrazmikovZnak"/>
    <w:uiPriority w:val="1"/>
    <w:qFormat/>
    <w:rsid w:val="00B95570"/>
    <w:pPr>
      <w:spacing w:after="0" w:line="240" w:lineRule="auto"/>
    </w:pPr>
    <w:rPr>
      <w:rFonts w:asciiTheme="minorHAnsi" w:hAnsiTheme="minorHAnsi"/>
    </w:rPr>
  </w:style>
  <w:style w:type="character" w:customStyle="1" w:styleId="BrezrazmikovZnak">
    <w:name w:val="Brez razmikov Znak"/>
    <w:basedOn w:val="Privzetapisavaodstavka"/>
    <w:link w:val="Brezrazmikov"/>
    <w:uiPriority w:val="1"/>
    <w:rsid w:val="00B95570"/>
    <w:rPr>
      <w:rFonts w:asciiTheme="minorHAnsi" w:hAnsiTheme="minorHAnsi"/>
    </w:rPr>
  </w:style>
  <w:style w:type="character" w:customStyle="1" w:styleId="Naslov1Znak">
    <w:name w:val="Naslov 1 Znak"/>
    <w:basedOn w:val="Privzetapisavaodstavka"/>
    <w:link w:val="Naslov1"/>
    <w:rsid w:val="00682621"/>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682621"/>
    <w:pPr>
      <w:jc w:val="center"/>
    </w:pPr>
    <w:rPr>
      <w:b/>
      <w:bCs/>
      <w:sz w:val="24"/>
      <w:szCs w:val="24"/>
    </w:rPr>
  </w:style>
  <w:style w:type="character" w:customStyle="1" w:styleId="TelobesedilaZnak">
    <w:name w:val="Telo besedila Znak"/>
    <w:basedOn w:val="Privzetapisavaodstavka"/>
    <w:link w:val="Telobesedila"/>
    <w:rsid w:val="00682621"/>
    <w:rPr>
      <w:rFonts w:ascii="Times New Roman" w:eastAsia="Times New Roman" w:hAnsi="Times New Roman" w:cs="Times New Roman"/>
      <w:b/>
      <w:bCs/>
      <w:sz w:val="24"/>
      <w:szCs w:val="24"/>
      <w:lang w:eastAsia="sl-SI"/>
    </w:rPr>
  </w:style>
  <w:style w:type="character" w:customStyle="1" w:styleId="Naslov3Znak">
    <w:name w:val="Naslov 3 Znak"/>
    <w:basedOn w:val="Privzetapisavaodstavka"/>
    <w:link w:val="Naslov3"/>
    <w:uiPriority w:val="9"/>
    <w:semiHidden/>
    <w:rsid w:val="00220F04"/>
    <w:rPr>
      <w:rFonts w:asciiTheme="majorHAnsi" w:eastAsiaTheme="majorEastAsia" w:hAnsiTheme="majorHAnsi" w:cstheme="majorBidi"/>
      <w:color w:val="1F4D78" w:themeColor="accent1" w:themeShade="7F"/>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B3C33"/>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682621"/>
    <w:pPr>
      <w:keepNext/>
      <w:jc w:val="center"/>
      <w:outlineLvl w:val="0"/>
    </w:pPr>
    <w:rPr>
      <w:b/>
      <w:bCs/>
      <w:sz w:val="24"/>
      <w:szCs w:val="24"/>
    </w:rPr>
  </w:style>
  <w:style w:type="paragraph" w:styleId="Naslov3">
    <w:name w:val="heading 3"/>
    <w:basedOn w:val="Navaden"/>
    <w:next w:val="Navaden"/>
    <w:link w:val="Naslov3Znak"/>
    <w:uiPriority w:val="9"/>
    <w:semiHidden/>
    <w:unhideWhenUsed/>
    <w:qFormat/>
    <w:rsid w:val="00220F0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B3C33"/>
    <w:pPr>
      <w:ind w:left="720"/>
      <w:contextualSpacing/>
    </w:pPr>
    <w:rPr>
      <w:sz w:val="24"/>
      <w:szCs w:val="24"/>
    </w:rPr>
  </w:style>
  <w:style w:type="paragraph" w:styleId="Brezrazmikov">
    <w:name w:val="No Spacing"/>
    <w:link w:val="BrezrazmikovZnak"/>
    <w:uiPriority w:val="1"/>
    <w:qFormat/>
    <w:rsid w:val="00B95570"/>
    <w:pPr>
      <w:spacing w:after="0" w:line="240" w:lineRule="auto"/>
    </w:pPr>
    <w:rPr>
      <w:rFonts w:asciiTheme="minorHAnsi" w:hAnsiTheme="minorHAnsi"/>
    </w:rPr>
  </w:style>
  <w:style w:type="character" w:customStyle="1" w:styleId="BrezrazmikovZnak">
    <w:name w:val="Brez razmikov Znak"/>
    <w:basedOn w:val="Privzetapisavaodstavka"/>
    <w:link w:val="Brezrazmikov"/>
    <w:uiPriority w:val="1"/>
    <w:rsid w:val="00B95570"/>
    <w:rPr>
      <w:rFonts w:asciiTheme="minorHAnsi" w:hAnsiTheme="minorHAnsi"/>
    </w:rPr>
  </w:style>
  <w:style w:type="character" w:customStyle="1" w:styleId="Naslov1Znak">
    <w:name w:val="Naslov 1 Znak"/>
    <w:basedOn w:val="Privzetapisavaodstavka"/>
    <w:link w:val="Naslov1"/>
    <w:rsid w:val="00682621"/>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682621"/>
    <w:pPr>
      <w:jc w:val="center"/>
    </w:pPr>
    <w:rPr>
      <w:b/>
      <w:bCs/>
      <w:sz w:val="24"/>
      <w:szCs w:val="24"/>
    </w:rPr>
  </w:style>
  <w:style w:type="character" w:customStyle="1" w:styleId="TelobesedilaZnak">
    <w:name w:val="Telo besedila Znak"/>
    <w:basedOn w:val="Privzetapisavaodstavka"/>
    <w:link w:val="Telobesedila"/>
    <w:rsid w:val="00682621"/>
    <w:rPr>
      <w:rFonts w:ascii="Times New Roman" w:eastAsia="Times New Roman" w:hAnsi="Times New Roman" w:cs="Times New Roman"/>
      <w:b/>
      <w:bCs/>
      <w:sz w:val="24"/>
      <w:szCs w:val="24"/>
      <w:lang w:eastAsia="sl-SI"/>
    </w:rPr>
  </w:style>
  <w:style w:type="character" w:customStyle="1" w:styleId="Naslov3Znak">
    <w:name w:val="Naslov 3 Znak"/>
    <w:basedOn w:val="Privzetapisavaodstavka"/>
    <w:link w:val="Naslov3"/>
    <w:uiPriority w:val="9"/>
    <w:semiHidden/>
    <w:rsid w:val="00220F04"/>
    <w:rPr>
      <w:rFonts w:asciiTheme="majorHAnsi" w:eastAsiaTheme="majorEastAsia" w:hAnsiTheme="majorHAnsi" w:cstheme="majorBidi"/>
      <w:color w:val="1F4D78" w:themeColor="accent1" w:themeShade="7F"/>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2138</Words>
  <Characters>12190</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Ambrožič</dc:creator>
  <cp:lastModifiedBy>Uporabnik</cp:lastModifiedBy>
  <cp:revision>2</cp:revision>
  <dcterms:created xsi:type="dcterms:W3CDTF">2017-05-25T06:51:00Z</dcterms:created>
  <dcterms:modified xsi:type="dcterms:W3CDTF">2017-05-25T06:51:00Z</dcterms:modified>
</cp:coreProperties>
</file>